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E1" w:rsidRPr="0094371F" w:rsidRDefault="001A46E1" w:rsidP="001A46E1">
      <w:pPr>
        <w:pStyle w:val="NoSpacing"/>
        <w:jc w:val="center"/>
        <w:rPr>
          <w:rFonts w:ascii="Times New Roman" w:hAnsi="Times New Roman" w:cs="Times New Roman"/>
          <w:b/>
          <w:spacing w:val="10"/>
        </w:rPr>
      </w:pPr>
      <w:r w:rsidRPr="0094371F">
        <w:rPr>
          <w:rFonts w:ascii="Times New Roman" w:hAnsi="Times New Roman" w:cs="Times New Roman"/>
          <w:b/>
          <w:spacing w:val="10"/>
        </w:rPr>
        <w:t>UNITED STATES DISTRICT COURT</w:t>
      </w:r>
    </w:p>
    <w:p w:rsidR="001A46E1" w:rsidRPr="0094371F" w:rsidRDefault="001A46E1" w:rsidP="001A46E1">
      <w:pPr>
        <w:pStyle w:val="NoSpacing"/>
        <w:jc w:val="center"/>
        <w:rPr>
          <w:rFonts w:ascii="Times New Roman" w:hAnsi="Times New Roman" w:cs="Times New Roman"/>
          <w:b/>
          <w:spacing w:val="10"/>
        </w:rPr>
      </w:pPr>
      <w:r w:rsidRPr="0094371F">
        <w:rPr>
          <w:rFonts w:ascii="Times New Roman" w:hAnsi="Times New Roman" w:cs="Times New Roman"/>
          <w:b/>
          <w:spacing w:val="10"/>
        </w:rPr>
        <w:t>FOR THE DISTRICT OF COLUMBIA</w:t>
      </w:r>
    </w:p>
    <w:p w:rsidR="001A46E1" w:rsidRPr="0094371F" w:rsidRDefault="001A46E1" w:rsidP="001A46E1">
      <w:pPr>
        <w:jc w:val="center"/>
        <w:rPr>
          <w:bCs/>
          <w:spacing w:val="10"/>
        </w:rPr>
      </w:pPr>
    </w:p>
    <w:tbl>
      <w:tblPr>
        <w:tblW w:w="9720" w:type="dxa"/>
        <w:tblInd w:w="-90" w:type="dxa"/>
        <w:tblLayout w:type="fixed"/>
        <w:tblCellMar>
          <w:left w:w="0" w:type="dxa"/>
          <w:right w:w="0" w:type="dxa"/>
        </w:tblCellMar>
        <w:tblLook w:val="0000" w:firstRow="0" w:lastRow="0" w:firstColumn="0" w:lastColumn="0" w:noHBand="0" w:noVBand="0"/>
      </w:tblPr>
      <w:tblGrid>
        <w:gridCol w:w="4410"/>
        <w:gridCol w:w="720"/>
        <w:gridCol w:w="4590"/>
      </w:tblGrid>
      <w:tr w:rsidR="001A46E1" w:rsidRPr="0094371F" w:rsidTr="00821341">
        <w:tc>
          <w:tcPr>
            <w:tcW w:w="4410" w:type="dxa"/>
            <w:tcBorders>
              <w:top w:val="single" w:sz="7" w:space="0" w:color="000000"/>
              <w:left w:val="nil"/>
              <w:bottom w:val="nil"/>
              <w:right w:val="nil"/>
            </w:tcBorders>
          </w:tcPr>
          <w:p w:rsidR="001A46E1" w:rsidRPr="0094371F" w:rsidRDefault="001A46E1" w:rsidP="00821341">
            <w:pPr>
              <w:rPr>
                <w:bCs/>
                <w:spacing w:val="10"/>
              </w:rPr>
            </w:pPr>
          </w:p>
        </w:tc>
        <w:tc>
          <w:tcPr>
            <w:tcW w:w="720" w:type="dxa"/>
            <w:tcBorders>
              <w:top w:val="nil"/>
              <w:left w:val="nil"/>
              <w:bottom w:val="nil"/>
              <w:right w:val="nil"/>
            </w:tcBorders>
          </w:tcPr>
          <w:p w:rsidR="001A46E1" w:rsidRPr="0094371F" w:rsidRDefault="001A46E1" w:rsidP="00821341">
            <w:pPr>
              <w:rPr>
                <w:bCs/>
                <w:spacing w:val="10"/>
              </w:rPr>
            </w:pPr>
            <w:r w:rsidRPr="0094371F">
              <w:rPr>
                <w:bCs/>
                <w:spacing w:val="10"/>
              </w:rPr>
              <w:t>)</w:t>
            </w:r>
          </w:p>
        </w:tc>
        <w:tc>
          <w:tcPr>
            <w:tcW w:w="4590" w:type="dxa"/>
            <w:tcBorders>
              <w:top w:val="nil"/>
              <w:left w:val="nil"/>
              <w:bottom w:val="nil"/>
              <w:right w:val="nil"/>
            </w:tcBorders>
          </w:tcPr>
          <w:p w:rsidR="001A46E1" w:rsidRPr="0094371F" w:rsidRDefault="001A46E1" w:rsidP="00821341">
            <w:pPr>
              <w:rPr>
                <w:bCs/>
                <w:spacing w:val="10"/>
              </w:rPr>
            </w:pPr>
          </w:p>
        </w:tc>
      </w:tr>
      <w:tr w:rsidR="001A46E1" w:rsidRPr="0094371F" w:rsidTr="00821341">
        <w:tc>
          <w:tcPr>
            <w:tcW w:w="4410" w:type="dxa"/>
            <w:tcBorders>
              <w:top w:val="nil"/>
              <w:left w:val="nil"/>
              <w:bottom w:val="nil"/>
              <w:right w:val="nil"/>
            </w:tcBorders>
          </w:tcPr>
          <w:p w:rsidR="001A46E1" w:rsidRPr="0094371F" w:rsidRDefault="001A46E1" w:rsidP="00821341">
            <w:pPr>
              <w:rPr>
                <w:bCs/>
                <w:spacing w:val="10"/>
              </w:rPr>
            </w:pPr>
            <w:r w:rsidRPr="0094371F">
              <w:rPr>
                <w:bCs/>
                <w:spacing w:val="10"/>
              </w:rPr>
              <w:fldChar w:fldCharType="begin"/>
            </w:r>
            <w:r w:rsidRPr="0094371F">
              <w:rPr>
                <w:bCs/>
                <w:spacing w:val="10"/>
              </w:rPr>
              <w:instrText xml:space="preserve"> MACROBUTTON NoMacro [Plaintiff's Name]</w:instrText>
            </w:r>
            <w:r w:rsidRPr="0094371F">
              <w:rPr>
                <w:bCs/>
                <w:spacing w:val="10"/>
              </w:rPr>
              <w:fldChar w:fldCharType="end"/>
            </w:r>
            <w:r w:rsidRPr="0094371F">
              <w:rPr>
                <w:bCs/>
                <w:spacing w:val="10"/>
              </w:rPr>
              <w:t>,</w:t>
            </w:r>
          </w:p>
        </w:tc>
        <w:tc>
          <w:tcPr>
            <w:tcW w:w="720" w:type="dxa"/>
            <w:tcBorders>
              <w:top w:val="nil"/>
              <w:left w:val="nil"/>
              <w:bottom w:val="nil"/>
              <w:right w:val="nil"/>
            </w:tcBorders>
          </w:tcPr>
          <w:p w:rsidR="001A46E1" w:rsidRPr="0094371F" w:rsidRDefault="001A46E1" w:rsidP="00821341">
            <w:pPr>
              <w:rPr>
                <w:bCs/>
                <w:spacing w:val="10"/>
              </w:rPr>
            </w:pPr>
            <w:r w:rsidRPr="0094371F">
              <w:rPr>
                <w:bCs/>
                <w:spacing w:val="10"/>
              </w:rPr>
              <w:t>)</w:t>
            </w:r>
          </w:p>
        </w:tc>
        <w:tc>
          <w:tcPr>
            <w:tcW w:w="4590" w:type="dxa"/>
            <w:tcBorders>
              <w:top w:val="nil"/>
              <w:left w:val="nil"/>
              <w:bottom w:val="nil"/>
              <w:right w:val="nil"/>
            </w:tcBorders>
          </w:tcPr>
          <w:p w:rsidR="001A46E1" w:rsidRPr="0094371F" w:rsidRDefault="001A46E1" w:rsidP="00821341">
            <w:pPr>
              <w:rPr>
                <w:bCs/>
                <w:spacing w:val="10"/>
              </w:rPr>
            </w:pPr>
          </w:p>
        </w:tc>
      </w:tr>
      <w:tr w:rsidR="001A46E1" w:rsidRPr="0094371F" w:rsidTr="00821341">
        <w:tc>
          <w:tcPr>
            <w:tcW w:w="4410" w:type="dxa"/>
            <w:tcBorders>
              <w:top w:val="nil"/>
              <w:left w:val="nil"/>
              <w:bottom w:val="nil"/>
              <w:right w:val="nil"/>
            </w:tcBorders>
          </w:tcPr>
          <w:p w:rsidR="001A46E1" w:rsidRPr="0094371F" w:rsidRDefault="001A46E1" w:rsidP="00821341">
            <w:pPr>
              <w:rPr>
                <w:bCs/>
                <w:spacing w:val="10"/>
              </w:rPr>
            </w:pPr>
          </w:p>
        </w:tc>
        <w:tc>
          <w:tcPr>
            <w:tcW w:w="720" w:type="dxa"/>
            <w:tcBorders>
              <w:top w:val="nil"/>
              <w:left w:val="nil"/>
              <w:bottom w:val="nil"/>
              <w:right w:val="nil"/>
            </w:tcBorders>
          </w:tcPr>
          <w:p w:rsidR="001A46E1" w:rsidRPr="0094371F" w:rsidRDefault="001A46E1" w:rsidP="00821341">
            <w:pPr>
              <w:rPr>
                <w:bCs/>
                <w:spacing w:val="10"/>
              </w:rPr>
            </w:pPr>
            <w:r w:rsidRPr="0094371F">
              <w:rPr>
                <w:bCs/>
                <w:spacing w:val="10"/>
              </w:rPr>
              <w:t>)</w:t>
            </w:r>
          </w:p>
        </w:tc>
        <w:tc>
          <w:tcPr>
            <w:tcW w:w="4590" w:type="dxa"/>
            <w:tcBorders>
              <w:top w:val="nil"/>
              <w:left w:val="nil"/>
              <w:bottom w:val="nil"/>
              <w:right w:val="nil"/>
            </w:tcBorders>
          </w:tcPr>
          <w:p w:rsidR="001A46E1" w:rsidRPr="0094371F" w:rsidRDefault="001A46E1" w:rsidP="00821341">
            <w:pPr>
              <w:rPr>
                <w:bCs/>
                <w:spacing w:val="10"/>
              </w:rPr>
            </w:pPr>
          </w:p>
        </w:tc>
      </w:tr>
      <w:tr w:rsidR="001A46E1" w:rsidRPr="0094371F" w:rsidTr="00821341">
        <w:tc>
          <w:tcPr>
            <w:tcW w:w="4410" w:type="dxa"/>
            <w:tcBorders>
              <w:top w:val="nil"/>
              <w:left w:val="nil"/>
              <w:bottom w:val="nil"/>
              <w:right w:val="nil"/>
            </w:tcBorders>
          </w:tcPr>
          <w:p w:rsidR="001A46E1" w:rsidRPr="0094371F" w:rsidRDefault="001A46E1" w:rsidP="00821341">
            <w:pPr>
              <w:ind w:firstLine="1440"/>
              <w:rPr>
                <w:bCs/>
                <w:spacing w:val="10"/>
              </w:rPr>
            </w:pPr>
            <w:r w:rsidRPr="0094371F">
              <w:rPr>
                <w:bCs/>
                <w:spacing w:val="10"/>
              </w:rPr>
              <w:t>Plaintiff,</w:t>
            </w:r>
          </w:p>
        </w:tc>
        <w:tc>
          <w:tcPr>
            <w:tcW w:w="720" w:type="dxa"/>
            <w:tcBorders>
              <w:top w:val="nil"/>
              <w:left w:val="nil"/>
              <w:bottom w:val="nil"/>
              <w:right w:val="nil"/>
            </w:tcBorders>
          </w:tcPr>
          <w:p w:rsidR="001A46E1" w:rsidRPr="0094371F" w:rsidRDefault="001A46E1" w:rsidP="00821341">
            <w:pPr>
              <w:rPr>
                <w:bCs/>
                <w:spacing w:val="10"/>
              </w:rPr>
            </w:pPr>
            <w:r w:rsidRPr="0094371F">
              <w:rPr>
                <w:bCs/>
                <w:spacing w:val="10"/>
              </w:rPr>
              <w:t>)</w:t>
            </w:r>
          </w:p>
        </w:tc>
        <w:tc>
          <w:tcPr>
            <w:tcW w:w="4590" w:type="dxa"/>
            <w:tcBorders>
              <w:top w:val="nil"/>
              <w:left w:val="nil"/>
              <w:bottom w:val="nil"/>
              <w:right w:val="nil"/>
            </w:tcBorders>
          </w:tcPr>
          <w:p w:rsidR="001A46E1" w:rsidRPr="0094371F" w:rsidRDefault="001A46E1" w:rsidP="00821341">
            <w:pPr>
              <w:rPr>
                <w:bCs/>
                <w:spacing w:val="10"/>
              </w:rPr>
            </w:pPr>
          </w:p>
        </w:tc>
      </w:tr>
      <w:tr w:rsidR="001A46E1" w:rsidRPr="0094371F" w:rsidTr="00821341">
        <w:tc>
          <w:tcPr>
            <w:tcW w:w="4410" w:type="dxa"/>
            <w:tcBorders>
              <w:top w:val="nil"/>
              <w:left w:val="nil"/>
              <w:bottom w:val="nil"/>
              <w:right w:val="nil"/>
            </w:tcBorders>
          </w:tcPr>
          <w:p w:rsidR="001A46E1" w:rsidRPr="0094371F" w:rsidRDefault="001A46E1" w:rsidP="00821341">
            <w:pPr>
              <w:rPr>
                <w:bCs/>
                <w:spacing w:val="10"/>
              </w:rPr>
            </w:pPr>
          </w:p>
        </w:tc>
        <w:tc>
          <w:tcPr>
            <w:tcW w:w="720" w:type="dxa"/>
            <w:tcBorders>
              <w:top w:val="nil"/>
              <w:left w:val="nil"/>
              <w:bottom w:val="nil"/>
              <w:right w:val="nil"/>
            </w:tcBorders>
          </w:tcPr>
          <w:p w:rsidR="001A46E1" w:rsidRPr="0094371F" w:rsidRDefault="001A46E1" w:rsidP="00821341">
            <w:pPr>
              <w:rPr>
                <w:bCs/>
                <w:spacing w:val="10"/>
              </w:rPr>
            </w:pPr>
            <w:r w:rsidRPr="0094371F">
              <w:rPr>
                <w:bCs/>
                <w:spacing w:val="10"/>
              </w:rPr>
              <w:t>)</w:t>
            </w:r>
          </w:p>
        </w:tc>
        <w:tc>
          <w:tcPr>
            <w:tcW w:w="4590" w:type="dxa"/>
            <w:tcBorders>
              <w:top w:val="nil"/>
              <w:left w:val="nil"/>
              <w:bottom w:val="nil"/>
              <w:right w:val="nil"/>
            </w:tcBorders>
          </w:tcPr>
          <w:p w:rsidR="001A46E1" w:rsidRPr="0094371F" w:rsidRDefault="001A46E1" w:rsidP="00821341">
            <w:pPr>
              <w:rPr>
                <w:bCs/>
                <w:spacing w:val="10"/>
              </w:rPr>
            </w:pPr>
            <w:bookmarkStart w:id="0" w:name="_GoBack"/>
            <w:bookmarkEnd w:id="0"/>
          </w:p>
        </w:tc>
      </w:tr>
      <w:tr w:rsidR="001A46E1" w:rsidRPr="0094371F" w:rsidTr="00821341">
        <w:tc>
          <w:tcPr>
            <w:tcW w:w="4410" w:type="dxa"/>
            <w:tcBorders>
              <w:top w:val="nil"/>
              <w:left w:val="nil"/>
              <w:bottom w:val="nil"/>
              <w:right w:val="nil"/>
            </w:tcBorders>
          </w:tcPr>
          <w:p w:rsidR="001A46E1" w:rsidRPr="0094371F" w:rsidRDefault="001A46E1" w:rsidP="00821341">
            <w:pPr>
              <w:ind w:firstLine="720"/>
              <w:rPr>
                <w:bCs/>
                <w:spacing w:val="10"/>
              </w:rPr>
            </w:pPr>
            <w:r w:rsidRPr="0094371F">
              <w:rPr>
                <w:bCs/>
                <w:spacing w:val="10"/>
              </w:rPr>
              <w:t>v.</w:t>
            </w:r>
          </w:p>
        </w:tc>
        <w:tc>
          <w:tcPr>
            <w:tcW w:w="720" w:type="dxa"/>
            <w:tcBorders>
              <w:top w:val="nil"/>
              <w:left w:val="nil"/>
              <w:bottom w:val="nil"/>
              <w:right w:val="nil"/>
            </w:tcBorders>
          </w:tcPr>
          <w:p w:rsidR="001A46E1" w:rsidRDefault="001A46E1" w:rsidP="00821341">
            <w:pPr>
              <w:rPr>
                <w:bCs/>
                <w:spacing w:val="10"/>
              </w:rPr>
            </w:pPr>
            <w:r w:rsidRPr="0094371F">
              <w:rPr>
                <w:bCs/>
                <w:spacing w:val="10"/>
              </w:rPr>
              <w:t>)</w:t>
            </w:r>
          </w:p>
          <w:p w:rsidR="001A46E1" w:rsidRPr="0094371F" w:rsidRDefault="001A46E1" w:rsidP="00821341">
            <w:pPr>
              <w:rPr>
                <w:bCs/>
                <w:spacing w:val="10"/>
              </w:rPr>
            </w:pPr>
            <w:r>
              <w:rPr>
                <w:bCs/>
                <w:spacing w:val="10"/>
              </w:rPr>
              <w:t>)</w:t>
            </w:r>
          </w:p>
        </w:tc>
        <w:tc>
          <w:tcPr>
            <w:tcW w:w="4590" w:type="dxa"/>
            <w:tcBorders>
              <w:top w:val="nil"/>
              <w:left w:val="nil"/>
              <w:bottom w:val="nil"/>
              <w:right w:val="nil"/>
            </w:tcBorders>
          </w:tcPr>
          <w:p w:rsidR="001A46E1" w:rsidRDefault="001A46E1" w:rsidP="00821341">
            <w:pPr>
              <w:rPr>
                <w:bCs/>
                <w:spacing w:val="10"/>
              </w:rPr>
            </w:pPr>
            <w:r>
              <w:rPr>
                <w:bCs/>
                <w:spacing w:val="10"/>
              </w:rPr>
              <w:t xml:space="preserve">Civil Action No. </w:t>
            </w:r>
            <w:r>
              <w:rPr>
                <w:bCs/>
                <w:spacing w:val="10"/>
              </w:rPr>
              <w:fldChar w:fldCharType="begin">
                <w:ffData>
                  <w:name w:val="Text1"/>
                  <w:enabled/>
                  <w:calcOnExit w:val="0"/>
                  <w:textInput/>
                </w:ffData>
              </w:fldChar>
            </w:r>
            <w:r>
              <w:rPr>
                <w:bCs/>
                <w:spacing w:val="10"/>
              </w:rPr>
              <w:instrText xml:space="preserve"> FORMTEXT </w:instrText>
            </w:r>
            <w:r>
              <w:rPr>
                <w:bCs/>
                <w:spacing w:val="10"/>
              </w:rPr>
            </w:r>
            <w:r>
              <w:rPr>
                <w:bCs/>
                <w:spacing w:val="10"/>
              </w:rPr>
              <w:fldChar w:fldCharType="separate"/>
            </w:r>
            <w:r>
              <w:rPr>
                <w:bCs/>
                <w:noProof/>
                <w:spacing w:val="10"/>
              </w:rPr>
              <w:t> </w:t>
            </w:r>
            <w:r>
              <w:rPr>
                <w:bCs/>
                <w:noProof/>
                <w:spacing w:val="10"/>
              </w:rPr>
              <w:t> </w:t>
            </w:r>
            <w:r>
              <w:rPr>
                <w:bCs/>
                <w:noProof/>
                <w:spacing w:val="10"/>
              </w:rPr>
              <w:t> </w:t>
            </w:r>
            <w:r>
              <w:rPr>
                <w:bCs/>
                <w:noProof/>
                <w:spacing w:val="10"/>
              </w:rPr>
              <w:t> </w:t>
            </w:r>
            <w:r>
              <w:rPr>
                <w:bCs/>
                <w:noProof/>
                <w:spacing w:val="10"/>
              </w:rPr>
              <w:t> </w:t>
            </w:r>
            <w:r>
              <w:rPr>
                <w:bCs/>
                <w:spacing w:val="10"/>
              </w:rPr>
              <w:fldChar w:fldCharType="end"/>
            </w:r>
            <w:r>
              <w:rPr>
                <w:bCs/>
                <w:spacing w:val="10"/>
              </w:rPr>
              <w:t xml:space="preserve"> -cv- </w:t>
            </w:r>
            <w:r>
              <w:rPr>
                <w:bCs/>
                <w:spacing w:val="10"/>
              </w:rPr>
              <w:fldChar w:fldCharType="begin">
                <w:ffData>
                  <w:name w:val="Text1"/>
                  <w:enabled/>
                  <w:calcOnExit w:val="0"/>
                  <w:textInput/>
                </w:ffData>
              </w:fldChar>
            </w:r>
            <w:r>
              <w:rPr>
                <w:bCs/>
                <w:spacing w:val="10"/>
              </w:rPr>
              <w:instrText xml:space="preserve"> FORMTEXT </w:instrText>
            </w:r>
            <w:r>
              <w:rPr>
                <w:bCs/>
                <w:spacing w:val="10"/>
              </w:rPr>
            </w:r>
            <w:r>
              <w:rPr>
                <w:bCs/>
                <w:spacing w:val="10"/>
              </w:rPr>
              <w:fldChar w:fldCharType="separate"/>
            </w:r>
            <w:r>
              <w:rPr>
                <w:bCs/>
                <w:noProof/>
                <w:spacing w:val="10"/>
              </w:rPr>
              <w:t> </w:t>
            </w:r>
            <w:r>
              <w:rPr>
                <w:bCs/>
                <w:noProof/>
                <w:spacing w:val="10"/>
              </w:rPr>
              <w:t> </w:t>
            </w:r>
            <w:r>
              <w:rPr>
                <w:bCs/>
                <w:noProof/>
                <w:spacing w:val="10"/>
              </w:rPr>
              <w:t> </w:t>
            </w:r>
            <w:r>
              <w:rPr>
                <w:bCs/>
                <w:noProof/>
                <w:spacing w:val="10"/>
              </w:rPr>
              <w:t> </w:t>
            </w:r>
            <w:r>
              <w:rPr>
                <w:bCs/>
                <w:noProof/>
                <w:spacing w:val="10"/>
              </w:rPr>
              <w:t> </w:t>
            </w:r>
            <w:r>
              <w:rPr>
                <w:bCs/>
                <w:spacing w:val="10"/>
              </w:rPr>
              <w:fldChar w:fldCharType="end"/>
            </w:r>
            <w:r>
              <w:rPr>
                <w:bCs/>
                <w:spacing w:val="10"/>
              </w:rPr>
              <w:t xml:space="preserve"> (TSC)</w:t>
            </w:r>
          </w:p>
          <w:p w:rsidR="001A46E1" w:rsidRPr="0094371F" w:rsidRDefault="001A46E1" w:rsidP="00821341">
            <w:pPr>
              <w:rPr>
                <w:bCs/>
                <w:spacing w:val="10"/>
              </w:rPr>
            </w:pPr>
          </w:p>
        </w:tc>
      </w:tr>
      <w:tr w:rsidR="001A46E1" w:rsidRPr="0094371F" w:rsidTr="00821341">
        <w:tc>
          <w:tcPr>
            <w:tcW w:w="4410" w:type="dxa"/>
            <w:tcBorders>
              <w:top w:val="nil"/>
              <w:left w:val="nil"/>
              <w:bottom w:val="nil"/>
              <w:right w:val="nil"/>
            </w:tcBorders>
          </w:tcPr>
          <w:p w:rsidR="001A46E1" w:rsidRPr="0094371F" w:rsidRDefault="001A46E1" w:rsidP="00821341">
            <w:pPr>
              <w:rPr>
                <w:bCs/>
                <w:spacing w:val="10"/>
              </w:rPr>
            </w:pPr>
          </w:p>
        </w:tc>
        <w:tc>
          <w:tcPr>
            <w:tcW w:w="720" w:type="dxa"/>
            <w:tcBorders>
              <w:top w:val="nil"/>
              <w:left w:val="nil"/>
              <w:bottom w:val="nil"/>
              <w:right w:val="nil"/>
            </w:tcBorders>
          </w:tcPr>
          <w:p w:rsidR="001A46E1" w:rsidRPr="0094371F" w:rsidRDefault="001A46E1" w:rsidP="00821341">
            <w:pPr>
              <w:rPr>
                <w:bCs/>
                <w:spacing w:val="10"/>
              </w:rPr>
            </w:pPr>
            <w:r w:rsidRPr="0094371F">
              <w:rPr>
                <w:bCs/>
                <w:spacing w:val="10"/>
              </w:rPr>
              <w:t>)</w:t>
            </w:r>
          </w:p>
        </w:tc>
        <w:tc>
          <w:tcPr>
            <w:tcW w:w="4590" w:type="dxa"/>
            <w:tcBorders>
              <w:top w:val="nil"/>
              <w:left w:val="nil"/>
              <w:bottom w:val="nil"/>
              <w:right w:val="nil"/>
            </w:tcBorders>
          </w:tcPr>
          <w:p w:rsidR="001A46E1" w:rsidRPr="0094371F" w:rsidRDefault="001A46E1" w:rsidP="00821341">
            <w:pPr>
              <w:rPr>
                <w:bCs/>
                <w:spacing w:val="10"/>
              </w:rPr>
            </w:pPr>
          </w:p>
        </w:tc>
      </w:tr>
      <w:tr w:rsidR="001A46E1" w:rsidRPr="0094371F" w:rsidTr="00821341">
        <w:tc>
          <w:tcPr>
            <w:tcW w:w="4410" w:type="dxa"/>
            <w:tcBorders>
              <w:top w:val="nil"/>
              <w:left w:val="nil"/>
              <w:bottom w:val="nil"/>
              <w:right w:val="nil"/>
            </w:tcBorders>
          </w:tcPr>
          <w:p w:rsidR="001A46E1" w:rsidRPr="0094371F" w:rsidRDefault="001A46E1" w:rsidP="00821341">
            <w:pPr>
              <w:rPr>
                <w:bCs/>
                <w:spacing w:val="10"/>
              </w:rPr>
            </w:pPr>
            <w:r w:rsidRPr="0094371F">
              <w:rPr>
                <w:bCs/>
                <w:spacing w:val="10"/>
              </w:rPr>
              <w:fldChar w:fldCharType="begin"/>
            </w:r>
            <w:r w:rsidRPr="0094371F">
              <w:rPr>
                <w:bCs/>
                <w:spacing w:val="10"/>
              </w:rPr>
              <w:instrText xml:space="preserve"> MACROBUTTON NoMacro [Defendant's Name]</w:instrText>
            </w:r>
            <w:r w:rsidRPr="0094371F">
              <w:rPr>
                <w:bCs/>
                <w:spacing w:val="10"/>
              </w:rPr>
              <w:fldChar w:fldCharType="end"/>
            </w:r>
            <w:r w:rsidRPr="0094371F">
              <w:rPr>
                <w:bCs/>
                <w:spacing w:val="10"/>
              </w:rPr>
              <w:t>,</w:t>
            </w:r>
          </w:p>
        </w:tc>
        <w:tc>
          <w:tcPr>
            <w:tcW w:w="720" w:type="dxa"/>
            <w:tcBorders>
              <w:top w:val="nil"/>
              <w:left w:val="nil"/>
              <w:bottom w:val="nil"/>
              <w:right w:val="nil"/>
            </w:tcBorders>
          </w:tcPr>
          <w:p w:rsidR="001A46E1" w:rsidRPr="0094371F" w:rsidRDefault="001A46E1" w:rsidP="00821341">
            <w:pPr>
              <w:rPr>
                <w:bCs/>
                <w:spacing w:val="10"/>
              </w:rPr>
            </w:pPr>
            <w:r w:rsidRPr="0094371F">
              <w:rPr>
                <w:bCs/>
                <w:spacing w:val="10"/>
              </w:rPr>
              <w:t>)</w:t>
            </w:r>
          </w:p>
        </w:tc>
        <w:tc>
          <w:tcPr>
            <w:tcW w:w="4590" w:type="dxa"/>
            <w:tcBorders>
              <w:top w:val="nil"/>
              <w:left w:val="nil"/>
              <w:bottom w:val="nil"/>
              <w:right w:val="nil"/>
            </w:tcBorders>
          </w:tcPr>
          <w:p w:rsidR="001A46E1" w:rsidRPr="0094371F" w:rsidRDefault="001A46E1" w:rsidP="00821341">
            <w:pPr>
              <w:rPr>
                <w:bCs/>
                <w:spacing w:val="10"/>
              </w:rPr>
            </w:pPr>
          </w:p>
        </w:tc>
      </w:tr>
      <w:tr w:rsidR="001A46E1" w:rsidRPr="0094371F" w:rsidTr="00821341">
        <w:tc>
          <w:tcPr>
            <w:tcW w:w="4410" w:type="dxa"/>
            <w:tcBorders>
              <w:top w:val="nil"/>
              <w:left w:val="nil"/>
              <w:bottom w:val="nil"/>
              <w:right w:val="nil"/>
            </w:tcBorders>
          </w:tcPr>
          <w:p w:rsidR="001A46E1" w:rsidRPr="0094371F" w:rsidRDefault="001A46E1" w:rsidP="00821341">
            <w:pPr>
              <w:rPr>
                <w:bCs/>
                <w:spacing w:val="10"/>
              </w:rPr>
            </w:pPr>
          </w:p>
        </w:tc>
        <w:tc>
          <w:tcPr>
            <w:tcW w:w="720" w:type="dxa"/>
            <w:tcBorders>
              <w:top w:val="nil"/>
              <w:left w:val="nil"/>
              <w:bottom w:val="nil"/>
              <w:right w:val="nil"/>
            </w:tcBorders>
          </w:tcPr>
          <w:p w:rsidR="001A46E1" w:rsidRPr="0094371F" w:rsidRDefault="001A46E1" w:rsidP="00821341">
            <w:pPr>
              <w:rPr>
                <w:bCs/>
                <w:spacing w:val="10"/>
              </w:rPr>
            </w:pPr>
            <w:r w:rsidRPr="0094371F">
              <w:rPr>
                <w:bCs/>
                <w:spacing w:val="10"/>
              </w:rPr>
              <w:t>)</w:t>
            </w:r>
          </w:p>
        </w:tc>
        <w:tc>
          <w:tcPr>
            <w:tcW w:w="4590" w:type="dxa"/>
            <w:tcBorders>
              <w:top w:val="nil"/>
              <w:left w:val="nil"/>
              <w:bottom w:val="nil"/>
              <w:right w:val="nil"/>
            </w:tcBorders>
          </w:tcPr>
          <w:p w:rsidR="001A46E1" w:rsidRPr="0094371F" w:rsidRDefault="001A46E1" w:rsidP="00821341">
            <w:pPr>
              <w:rPr>
                <w:bCs/>
                <w:spacing w:val="10"/>
              </w:rPr>
            </w:pPr>
          </w:p>
        </w:tc>
      </w:tr>
      <w:tr w:rsidR="001A46E1" w:rsidRPr="0094371F" w:rsidTr="00821341">
        <w:tc>
          <w:tcPr>
            <w:tcW w:w="4410" w:type="dxa"/>
            <w:tcBorders>
              <w:top w:val="nil"/>
              <w:left w:val="nil"/>
              <w:bottom w:val="nil"/>
              <w:right w:val="nil"/>
            </w:tcBorders>
          </w:tcPr>
          <w:p w:rsidR="001A46E1" w:rsidRPr="0094371F" w:rsidRDefault="001A46E1" w:rsidP="00821341">
            <w:pPr>
              <w:ind w:firstLine="1440"/>
              <w:rPr>
                <w:bCs/>
                <w:spacing w:val="10"/>
              </w:rPr>
            </w:pPr>
            <w:r w:rsidRPr="0094371F">
              <w:rPr>
                <w:bCs/>
                <w:spacing w:val="10"/>
              </w:rPr>
              <w:t>Defendant.</w:t>
            </w:r>
          </w:p>
        </w:tc>
        <w:tc>
          <w:tcPr>
            <w:tcW w:w="720" w:type="dxa"/>
            <w:tcBorders>
              <w:top w:val="nil"/>
              <w:left w:val="nil"/>
              <w:bottom w:val="nil"/>
              <w:right w:val="nil"/>
            </w:tcBorders>
          </w:tcPr>
          <w:p w:rsidR="001A46E1" w:rsidRPr="0094371F" w:rsidRDefault="001A46E1" w:rsidP="00821341">
            <w:pPr>
              <w:rPr>
                <w:bCs/>
                <w:spacing w:val="10"/>
              </w:rPr>
            </w:pPr>
            <w:r w:rsidRPr="0094371F">
              <w:rPr>
                <w:bCs/>
                <w:spacing w:val="10"/>
              </w:rPr>
              <w:t>)</w:t>
            </w:r>
          </w:p>
        </w:tc>
        <w:tc>
          <w:tcPr>
            <w:tcW w:w="4590" w:type="dxa"/>
            <w:tcBorders>
              <w:top w:val="nil"/>
              <w:left w:val="nil"/>
              <w:bottom w:val="nil"/>
              <w:right w:val="nil"/>
            </w:tcBorders>
          </w:tcPr>
          <w:p w:rsidR="001A46E1" w:rsidRPr="0094371F" w:rsidRDefault="001A46E1" w:rsidP="00821341">
            <w:pPr>
              <w:rPr>
                <w:bCs/>
                <w:spacing w:val="10"/>
              </w:rPr>
            </w:pPr>
          </w:p>
        </w:tc>
      </w:tr>
      <w:tr w:rsidR="001A46E1" w:rsidRPr="0094371F" w:rsidTr="00821341">
        <w:tc>
          <w:tcPr>
            <w:tcW w:w="4410" w:type="dxa"/>
            <w:tcBorders>
              <w:top w:val="nil"/>
              <w:left w:val="nil"/>
              <w:bottom w:val="single" w:sz="7" w:space="0" w:color="000000"/>
              <w:right w:val="nil"/>
            </w:tcBorders>
          </w:tcPr>
          <w:p w:rsidR="001A46E1" w:rsidRPr="0094371F" w:rsidRDefault="001A46E1" w:rsidP="00821341">
            <w:pPr>
              <w:rPr>
                <w:bCs/>
                <w:spacing w:val="10"/>
              </w:rPr>
            </w:pPr>
          </w:p>
        </w:tc>
        <w:tc>
          <w:tcPr>
            <w:tcW w:w="720" w:type="dxa"/>
            <w:tcBorders>
              <w:top w:val="nil"/>
              <w:left w:val="nil"/>
              <w:bottom w:val="nil"/>
              <w:right w:val="nil"/>
            </w:tcBorders>
          </w:tcPr>
          <w:p w:rsidR="001A46E1" w:rsidRPr="0094371F" w:rsidRDefault="001A46E1" w:rsidP="00821341">
            <w:pPr>
              <w:rPr>
                <w:bCs/>
                <w:spacing w:val="10"/>
              </w:rPr>
            </w:pPr>
            <w:r w:rsidRPr="0094371F">
              <w:rPr>
                <w:bCs/>
                <w:spacing w:val="10"/>
              </w:rPr>
              <w:t>)</w:t>
            </w:r>
          </w:p>
        </w:tc>
        <w:tc>
          <w:tcPr>
            <w:tcW w:w="4590" w:type="dxa"/>
            <w:tcBorders>
              <w:top w:val="nil"/>
              <w:left w:val="nil"/>
              <w:bottom w:val="nil"/>
              <w:right w:val="nil"/>
            </w:tcBorders>
          </w:tcPr>
          <w:p w:rsidR="001A46E1" w:rsidRPr="0094371F" w:rsidRDefault="001A46E1" w:rsidP="00821341">
            <w:pPr>
              <w:rPr>
                <w:bCs/>
                <w:spacing w:val="10"/>
              </w:rPr>
            </w:pPr>
          </w:p>
        </w:tc>
      </w:tr>
    </w:tbl>
    <w:p w:rsidR="001A46E1" w:rsidRPr="0094371F" w:rsidRDefault="001A46E1" w:rsidP="001A46E1">
      <w:pPr>
        <w:jc w:val="both"/>
        <w:rPr>
          <w:b/>
          <w:bCs/>
          <w:spacing w:val="10"/>
        </w:rPr>
      </w:pPr>
    </w:p>
    <w:p w:rsidR="008E40AE" w:rsidRPr="0094371F" w:rsidRDefault="008E40AE" w:rsidP="008E40AE">
      <w:pPr>
        <w:jc w:val="both"/>
        <w:rPr>
          <w:b/>
          <w:bCs/>
          <w:spacing w:val="10"/>
        </w:rPr>
      </w:pPr>
    </w:p>
    <w:p w:rsidR="008E40AE" w:rsidRPr="00FD5B67" w:rsidRDefault="008E40AE" w:rsidP="008E40AE">
      <w:pPr>
        <w:autoSpaceDE w:val="0"/>
        <w:autoSpaceDN w:val="0"/>
        <w:adjustRightInd w:val="0"/>
        <w:jc w:val="center"/>
      </w:pPr>
      <w:r w:rsidRPr="00FD5B67">
        <w:rPr>
          <w:b/>
          <w:bCs/>
          <w:u w:val="single"/>
        </w:rPr>
        <w:t>PRETRIAL CONFERENCE ORDER</w:t>
      </w:r>
      <w:r w:rsidRPr="00FD5B67">
        <w:rPr>
          <w:rStyle w:val="FootnoteReference"/>
          <w:b/>
          <w:bCs/>
        </w:rPr>
        <w:footnoteReference w:id="1"/>
      </w:r>
    </w:p>
    <w:p w:rsidR="00AA3680" w:rsidRPr="00FD5B67" w:rsidRDefault="00AA3680" w:rsidP="00AA3680">
      <w:pPr>
        <w:jc w:val="center"/>
        <w:rPr>
          <w:b/>
          <w:bCs/>
          <w:u w:val="single"/>
        </w:rPr>
      </w:pPr>
    </w:p>
    <w:p w:rsidR="005448D1" w:rsidRDefault="00975DD7" w:rsidP="00975DD7">
      <w:pPr>
        <w:autoSpaceDE w:val="0"/>
        <w:autoSpaceDN w:val="0"/>
        <w:adjustRightInd w:val="0"/>
        <w:spacing w:line="480" w:lineRule="auto"/>
        <w:ind w:firstLine="720"/>
      </w:pPr>
      <w:r w:rsidRPr="00FD5B67">
        <w:t xml:space="preserve">A Pretrial Conference will be held at </w:t>
      </w:r>
      <w:r w:rsidR="00A2215E">
        <w:rPr>
          <w:b/>
        </w:rPr>
        <w:t>[</w:t>
      </w:r>
      <w:r w:rsidR="00A2215E" w:rsidRPr="00A2215E">
        <w:rPr>
          <w:b/>
          <w:highlight w:val="yellow"/>
        </w:rPr>
        <w:t>TIME</w:t>
      </w:r>
      <w:r w:rsidR="00A2215E">
        <w:rPr>
          <w:b/>
        </w:rPr>
        <w:t>]</w:t>
      </w:r>
      <w:r w:rsidRPr="00FD5B67">
        <w:rPr>
          <w:b/>
        </w:rPr>
        <w:t xml:space="preserve"> </w:t>
      </w:r>
      <w:r w:rsidRPr="00FD5B67">
        <w:t xml:space="preserve">on </w:t>
      </w:r>
      <w:r w:rsidR="00A2215E" w:rsidRPr="00A2215E">
        <w:rPr>
          <w:b/>
        </w:rPr>
        <w:t>[</w:t>
      </w:r>
      <w:r w:rsidR="00A2215E" w:rsidRPr="00A2215E">
        <w:rPr>
          <w:b/>
          <w:highlight w:val="yellow"/>
        </w:rPr>
        <w:t>DATE</w:t>
      </w:r>
      <w:r w:rsidR="00A2215E" w:rsidRPr="00A2215E">
        <w:rPr>
          <w:b/>
        </w:rPr>
        <w:t>]</w:t>
      </w:r>
      <w:r w:rsidRPr="00FD5B67">
        <w:t xml:space="preserve">, </w:t>
      </w:r>
      <w:r w:rsidRPr="00FD5B67">
        <w:rPr>
          <w:spacing w:val="-5"/>
        </w:rPr>
        <w:t xml:space="preserve">in Courtroom 2.  </w:t>
      </w:r>
      <w:r w:rsidR="005448D1">
        <w:rPr>
          <w:b/>
        </w:rPr>
        <w:t>Counsel are instructed that individuals with settlement authority must be present or available by telephone during the pretrial conference.</w:t>
      </w:r>
      <w:r w:rsidR="005448D1">
        <w:t xml:space="preserve"> </w:t>
      </w:r>
    </w:p>
    <w:p w:rsidR="00975DD7" w:rsidRPr="00A73621" w:rsidRDefault="00975DD7" w:rsidP="00975DD7">
      <w:pPr>
        <w:autoSpaceDE w:val="0"/>
        <w:autoSpaceDN w:val="0"/>
        <w:adjustRightInd w:val="0"/>
        <w:spacing w:line="480" w:lineRule="auto"/>
        <w:ind w:firstLine="720"/>
        <w:rPr>
          <w:b/>
          <w:spacing w:val="-5"/>
        </w:rPr>
      </w:pPr>
      <w:r w:rsidRPr="00FD5B67">
        <w:rPr>
          <w:spacing w:val="-5"/>
        </w:rPr>
        <w:t xml:space="preserve">Trial is hereby set to begin on </w:t>
      </w:r>
      <w:r w:rsidR="00A2215E">
        <w:rPr>
          <w:b/>
          <w:spacing w:val="-5"/>
        </w:rPr>
        <w:t>[</w:t>
      </w:r>
      <w:r w:rsidR="00A2215E" w:rsidRPr="00A2215E">
        <w:rPr>
          <w:b/>
          <w:spacing w:val="-5"/>
          <w:highlight w:val="yellow"/>
        </w:rPr>
        <w:t>DATE</w:t>
      </w:r>
      <w:r w:rsidR="00A2215E">
        <w:rPr>
          <w:b/>
          <w:spacing w:val="-5"/>
        </w:rPr>
        <w:t>]</w:t>
      </w:r>
      <w:r w:rsidRPr="00FD5B67">
        <w:rPr>
          <w:spacing w:val="-5"/>
        </w:rPr>
        <w:t>,</w:t>
      </w:r>
      <w:r w:rsidRPr="00FD5B67">
        <w:rPr>
          <w:b/>
          <w:spacing w:val="-5"/>
        </w:rPr>
        <w:t xml:space="preserve"> </w:t>
      </w:r>
      <w:r w:rsidRPr="00FD5B67">
        <w:rPr>
          <w:spacing w:val="-5"/>
        </w:rPr>
        <w:t>at</w:t>
      </w:r>
      <w:r w:rsidRPr="00FD5B67">
        <w:rPr>
          <w:b/>
          <w:spacing w:val="-5"/>
        </w:rPr>
        <w:t xml:space="preserve"> </w:t>
      </w:r>
      <w:r w:rsidR="00A73621">
        <w:rPr>
          <w:b/>
          <w:spacing w:val="-5"/>
        </w:rPr>
        <w:t>9:00 a.m.</w:t>
      </w:r>
      <w:r w:rsidRPr="00FD5B67">
        <w:rPr>
          <w:spacing w:val="-5"/>
        </w:rPr>
        <w:t>, in Courtroom 2</w:t>
      </w:r>
      <w:r w:rsidRPr="00A73621">
        <w:rPr>
          <w:spacing w:val="-5"/>
        </w:rPr>
        <w:t>.</w:t>
      </w:r>
    </w:p>
    <w:p w:rsidR="00C37F63" w:rsidRPr="005448D1" w:rsidRDefault="00005712" w:rsidP="00953FB9">
      <w:pPr>
        <w:spacing w:line="480" w:lineRule="auto"/>
        <w:ind w:firstLine="720"/>
        <w:rPr>
          <w:b/>
          <w:spacing w:val="-5"/>
        </w:rPr>
      </w:pPr>
      <w:r>
        <w:t xml:space="preserve">Prior to the pretrial conference the parties shall meet and confer for the purpose of preparing the Joint Pretrial Statement and discussing the prospects for settlement.  To the extent possible, the parties shall conduct a face-to-face meeting.  </w:t>
      </w:r>
      <w:r w:rsidR="00436EA3" w:rsidRPr="00FD5B67">
        <w:t xml:space="preserve">The parties are directed </w:t>
      </w:r>
      <w:r w:rsidR="00436EA3" w:rsidRPr="005448D1">
        <w:t>to confer in good</w:t>
      </w:r>
      <w:r w:rsidR="00436EA3" w:rsidRPr="00FD5B67">
        <w:t xml:space="preserve"> faith and </w:t>
      </w:r>
      <w:r w:rsidR="00FD32CC">
        <w:t xml:space="preserve">Counsel </w:t>
      </w:r>
      <w:r w:rsidR="009B406A">
        <w:t>f</w:t>
      </w:r>
      <w:r w:rsidR="00FD32CC">
        <w:t xml:space="preserve">or Plaintiff shall </w:t>
      </w:r>
      <w:r w:rsidR="00436EA3" w:rsidRPr="00FD5B67">
        <w:t xml:space="preserve">file a Joint Pretrial Statement pursuant to Local Civil </w:t>
      </w:r>
      <w:r w:rsidR="00436EA3" w:rsidRPr="00FD5B67">
        <w:lastRenderedPageBreak/>
        <w:t>Rule 16.5(a) and (d)(5) no</w:t>
      </w:r>
      <w:r w:rsidR="00A46F64">
        <w:t>t</w:t>
      </w:r>
      <w:r w:rsidR="00436EA3" w:rsidRPr="00FD5B67">
        <w:t xml:space="preserve"> later than </w:t>
      </w:r>
      <w:r w:rsidR="002E3534" w:rsidRPr="00FD5B67">
        <w:rPr>
          <w:b/>
          <w:highlight w:val="yellow"/>
        </w:rPr>
        <w:t>[</w:t>
      </w:r>
      <w:r w:rsidR="002E3534">
        <w:rPr>
          <w:b/>
          <w:highlight w:val="yellow"/>
        </w:rPr>
        <w:t>T</w:t>
      </w:r>
      <w:r w:rsidR="002E3534" w:rsidRPr="00FD5B67">
        <w:rPr>
          <w:b/>
          <w:highlight w:val="yellow"/>
        </w:rPr>
        <w:t>ime]</w:t>
      </w:r>
      <w:r w:rsidR="002E3534" w:rsidRPr="00FD5B67">
        <w:rPr>
          <w:b/>
        </w:rPr>
        <w:t xml:space="preserve"> </w:t>
      </w:r>
      <w:r w:rsidR="002E3534" w:rsidRPr="00FD5B67">
        <w:t xml:space="preserve">on </w:t>
      </w:r>
      <w:r w:rsidR="002E3534">
        <w:rPr>
          <w:b/>
          <w:highlight w:val="yellow"/>
        </w:rPr>
        <w:t>[D</w:t>
      </w:r>
      <w:r w:rsidR="002E3534" w:rsidRPr="00FD5B67">
        <w:rPr>
          <w:b/>
          <w:highlight w:val="yellow"/>
        </w:rPr>
        <w:t>ate]</w:t>
      </w:r>
      <w:r w:rsidR="00436EA3" w:rsidRPr="00FD5B67">
        <w:t>.  Prior to submitt</w:t>
      </w:r>
      <w:r w:rsidR="004E3954" w:rsidRPr="00FD5B67">
        <w:t>ing</w:t>
      </w:r>
      <w:r w:rsidR="00436EA3" w:rsidRPr="00FD5B67">
        <w:t xml:space="preserve"> a Joint Pretrial Statement, the parties </w:t>
      </w:r>
      <w:r w:rsidR="00436EA3" w:rsidRPr="005448D1">
        <w:t xml:space="preserve">must discuss and attempt </w:t>
      </w:r>
      <w:r w:rsidR="00436EA3" w:rsidRPr="00FD5B67">
        <w:t>to resolve all objections to exhibits (including as to authentici</w:t>
      </w:r>
      <w:r w:rsidR="00976FCF" w:rsidRPr="00FD5B67">
        <w:t xml:space="preserve">ty) and all motions </w:t>
      </w:r>
      <w:r w:rsidR="00976FCF" w:rsidRPr="002762FF">
        <w:rPr>
          <w:i/>
        </w:rPr>
        <w:t xml:space="preserve">in </w:t>
      </w:r>
      <w:proofErr w:type="spellStart"/>
      <w:r w:rsidR="00976FCF" w:rsidRPr="002762FF">
        <w:rPr>
          <w:i/>
        </w:rPr>
        <w:t>limine</w:t>
      </w:r>
      <w:proofErr w:type="spellEnd"/>
      <w:r w:rsidR="00976FCF" w:rsidRPr="00FD5B67">
        <w:t xml:space="preserve">.  </w:t>
      </w:r>
      <w:r w:rsidR="00976FCF" w:rsidRPr="005448D1">
        <w:rPr>
          <w:b/>
          <w:spacing w:val="-5"/>
        </w:rPr>
        <w:t xml:space="preserve">Separate Pretrial Statements </w:t>
      </w:r>
      <w:r w:rsidR="005448D1">
        <w:rPr>
          <w:b/>
          <w:spacing w:val="-5"/>
        </w:rPr>
        <w:t xml:space="preserve">will be stricken, </w:t>
      </w:r>
      <w:proofErr w:type="spellStart"/>
      <w:r w:rsidR="00976FCF" w:rsidRPr="005448D1">
        <w:rPr>
          <w:b/>
          <w:i/>
          <w:spacing w:val="-5"/>
        </w:rPr>
        <w:t>sua</w:t>
      </w:r>
      <w:proofErr w:type="spellEnd"/>
      <w:r w:rsidR="00976FCF" w:rsidRPr="005448D1">
        <w:rPr>
          <w:b/>
          <w:i/>
          <w:spacing w:val="-5"/>
        </w:rPr>
        <w:t xml:space="preserve"> </w:t>
      </w:r>
      <w:proofErr w:type="spellStart"/>
      <w:r w:rsidR="00976FCF" w:rsidRPr="005448D1">
        <w:rPr>
          <w:b/>
          <w:i/>
          <w:spacing w:val="-5"/>
        </w:rPr>
        <w:t>sponte</w:t>
      </w:r>
      <w:proofErr w:type="spellEnd"/>
      <w:r w:rsidR="00976FCF" w:rsidRPr="005448D1">
        <w:rPr>
          <w:b/>
          <w:spacing w:val="-5"/>
        </w:rPr>
        <w:t>.</w:t>
      </w:r>
    </w:p>
    <w:p w:rsidR="00E31446" w:rsidRDefault="00CC2614" w:rsidP="00E31446">
      <w:pPr>
        <w:autoSpaceDE w:val="0"/>
        <w:autoSpaceDN w:val="0"/>
        <w:adjustRightInd w:val="0"/>
        <w:spacing w:line="480" w:lineRule="auto"/>
        <w:ind w:firstLine="360"/>
        <w:rPr>
          <w:b/>
          <w:spacing w:val="-5"/>
        </w:rPr>
      </w:pPr>
      <w:r>
        <w:rPr>
          <w:spacing w:val="-5"/>
        </w:rPr>
        <w:t xml:space="preserve">Counsel for Plaintiff must file the </w:t>
      </w:r>
      <w:r w:rsidR="005F75A7">
        <w:rPr>
          <w:spacing w:val="-5"/>
        </w:rPr>
        <w:t xml:space="preserve">Joint Pretrial Statement </w:t>
      </w:r>
      <w:r w:rsidR="004E3B55" w:rsidRPr="00A443AE">
        <w:rPr>
          <w:spacing w:val="-5"/>
        </w:rPr>
        <w:t xml:space="preserve">(including </w:t>
      </w:r>
      <w:proofErr w:type="spellStart"/>
      <w:r w:rsidR="004E3B55" w:rsidRPr="00A443AE">
        <w:rPr>
          <w:spacing w:val="-5"/>
        </w:rPr>
        <w:t>voir</w:t>
      </w:r>
      <w:proofErr w:type="spellEnd"/>
      <w:r w:rsidR="004E3B55" w:rsidRPr="00A443AE">
        <w:rPr>
          <w:spacing w:val="-5"/>
        </w:rPr>
        <w:t xml:space="preserve"> dire questi</w:t>
      </w:r>
      <w:r w:rsidR="00B94501">
        <w:rPr>
          <w:spacing w:val="-5"/>
        </w:rPr>
        <w:t>ons, proposed jury instructions</w:t>
      </w:r>
      <w:r w:rsidR="004E5559">
        <w:rPr>
          <w:spacing w:val="-5"/>
        </w:rPr>
        <w:t>,</w:t>
      </w:r>
      <w:r w:rsidR="00A443AE" w:rsidRPr="00A443AE">
        <w:rPr>
          <w:spacing w:val="-5"/>
        </w:rPr>
        <w:t xml:space="preserve"> and </w:t>
      </w:r>
      <w:r w:rsidR="004E3B55" w:rsidRPr="00A443AE">
        <w:rPr>
          <w:spacing w:val="-5"/>
        </w:rPr>
        <w:t>proposed verdict form</w:t>
      </w:r>
      <w:r w:rsidR="00A443AE" w:rsidRPr="00A443AE">
        <w:rPr>
          <w:spacing w:val="-5"/>
        </w:rPr>
        <w:t xml:space="preserve"> or proposed findings of fact/conclusions of law</w:t>
      </w:r>
      <w:r w:rsidR="004E3B55" w:rsidRPr="00A443AE">
        <w:rPr>
          <w:spacing w:val="-5"/>
        </w:rPr>
        <w:t xml:space="preserve">) </w:t>
      </w:r>
      <w:r w:rsidR="005F75A7">
        <w:rPr>
          <w:spacing w:val="-5"/>
        </w:rPr>
        <w:t>electronically via ECF and submit physical and electronic courtesy</w:t>
      </w:r>
      <w:r>
        <w:rPr>
          <w:spacing w:val="-5"/>
        </w:rPr>
        <w:t xml:space="preserve"> copies</w:t>
      </w:r>
      <w:r w:rsidR="005F75A7">
        <w:rPr>
          <w:spacing w:val="-5"/>
        </w:rPr>
        <w:t xml:space="preserve"> to chambers</w:t>
      </w:r>
      <w:r w:rsidR="005F75A7" w:rsidRPr="004D3909">
        <w:rPr>
          <w:spacing w:val="-5"/>
        </w:rPr>
        <w:t xml:space="preserve">.  </w:t>
      </w:r>
      <w:r w:rsidR="00B61D36">
        <w:rPr>
          <w:spacing w:val="-5"/>
        </w:rPr>
        <w:t>T</w:t>
      </w:r>
      <w:r w:rsidR="005F75A7" w:rsidRPr="004D3909">
        <w:rPr>
          <w:spacing w:val="-5"/>
        </w:rPr>
        <w:t xml:space="preserve">he Joint Pretrial Statement </w:t>
      </w:r>
      <w:r w:rsidR="005F75A7">
        <w:rPr>
          <w:spacing w:val="-5"/>
        </w:rPr>
        <w:t>shall</w:t>
      </w:r>
      <w:r w:rsidR="005F75A7" w:rsidRPr="004D3909">
        <w:rPr>
          <w:spacing w:val="-5"/>
        </w:rPr>
        <w:t xml:space="preserve"> be double-spaced, in 12-point Times</w:t>
      </w:r>
      <w:r w:rsidR="00CC4B34">
        <w:rPr>
          <w:spacing w:val="-5"/>
        </w:rPr>
        <w:t xml:space="preserve"> New</w:t>
      </w:r>
      <w:r w:rsidR="005F75A7" w:rsidRPr="004D3909">
        <w:rPr>
          <w:spacing w:val="-5"/>
        </w:rPr>
        <w:t xml:space="preserve"> Roman font, in </w:t>
      </w:r>
      <w:r w:rsidR="005F75A7">
        <w:rPr>
          <w:spacing w:val="-5"/>
        </w:rPr>
        <w:t xml:space="preserve">Microsoft </w:t>
      </w:r>
      <w:r w:rsidR="005F75A7" w:rsidRPr="004D3909">
        <w:rPr>
          <w:spacing w:val="-5"/>
        </w:rPr>
        <w:t xml:space="preserve">Word format, with margins of no less than </w:t>
      </w:r>
      <w:r w:rsidR="005F75A7">
        <w:rPr>
          <w:spacing w:val="-5"/>
        </w:rPr>
        <w:t>one (1)</w:t>
      </w:r>
      <w:r w:rsidR="005F75A7" w:rsidRPr="004D3909">
        <w:rPr>
          <w:spacing w:val="-5"/>
        </w:rPr>
        <w:t xml:space="preserve"> inch.  </w:t>
      </w:r>
      <w:r w:rsidR="005F75A7" w:rsidRPr="00CC2614">
        <w:rPr>
          <w:spacing w:val="-5"/>
        </w:rPr>
        <w:t xml:space="preserve">Two </w:t>
      </w:r>
      <w:r w:rsidR="005065DE">
        <w:rPr>
          <w:spacing w:val="-5"/>
        </w:rPr>
        <w:t xml:space="preserve">courtesy </w:t>
      </w:r>
      <w:r w:rsidR="00B61D36">
        <w:rPr>
          <w:spacing w:val="-5"/>
        </w:rPr>
        <w:t xml:space="preserve">hard </w:t>
      </w:r>
      <w:r w:rsidR="005065DE">
        <w:rPr>
          <w:spacing w:val="-5"/>
        </w:rPr>
        <w:t>copies</w:t>
      </w:r>
      <w:r w:rsidR="005F75A7">
        <w:rPr>
          <w:spacing w:val="-5"/>
        </w:rPr>
        <w:t xml:space="preserve"> </w:t>
      </w:r>
      <w:r w:rsidR="00FC38EA">
        <w:rPr>
          <w:spacing w:val="-5"/>
        </w:rPr>
        <w:t>of the Joint Pretrial Sta</w:t>
      </w:r>
      <w:r w:rsidR="004E3B55">
        <w:rPr>
          <w:spacing w:val="-5"/>
        </w:rPr>
        <w:t xml:space="preserve">tement </w:t>
      </w:r>
      <w:r w:rsidR="00A443AE" w:rsidRPr="00A443AE">
        <w:rPr>
          <w:spacing w:val="-5"/>
        </w:rPr>
        <w:t xml:space="preserve">(including </w:t>
      </w:r>
      <w:proofErr w:type="spellStart"/>
      <w:r w:rsidR="00A443AE" w:rsidRPr="00A443AE">
        <w:rPr>
          <w:spacing w:val="-5"/>
        </w:rPr>
        <w:t>voir</w:t>
      </w:r>
      <w:proofErr w:type="spellEnd"/>
      <w:r w:rsidR="00A443AE" w:rsidRPr="00A443AE">
        <w:rPr>
          <w:spacing w:val="-5"/>
        </w:rPr>
        <w:t xml:space="preserve"> dire questions, proposed jury instructions</w:t>
      </w:r>
      <w:r w:rsidR="004E5559">
        <w:rPr>
          <w:spacing w:val="-5"/>
        </w:rPr>
        <w:t>,</w:t>
      </w:r>
      <w:r w:rsidR="00A443AE" w:rsidRPr="00A443AE">
        <w:rPr>
          <w:spacing w:val="-5"/>
        </w:rPr>
        <w:t xml:space="preserve"> proposed verdict form or proposed findings of fact/conclusions of law</w:t>
      </w:r>
      <w:r w:rsidR="00A2215E">
        <w:rPr>
          <w:spacing w:val="-5"/>
        </w:rPr>
        <w:t xml:space="preserve"> and, to the extent necessary, exhibits</w:t>
      </w:r>
      <w:r w:rsidR="00A443AE">
        <w:rPr>
          <w:spacing w:val="-5"/>
        </w:rPr>
        <w:t xml:space="preserve">) </w:t>
      </w:r>
      <w:r w:rsidR="005F75A7">
        <w:rPr>
          <w:spacing w:val="-5"/>
        </w:rPr>
        <w:t>shall</w:t>
      </w:r>
      <w:r w:rsidR="005F75A7" w:rsidRPr="004D3909">
        <w:rPr>
          <w:spacing w:val="-5"/>
        </w:rPr>
        <w:t xml:space="preserve"> </w:t>
      </w:r>
      <w:r w:rsidR="005F75A7">
        <w:rPr>
          <w:spacing w:val="-5"/>
        </w:rPr>
        <w:t xml:space="preserve">be delivered to </w:t>
      </w:r>
      <w:r w:rsidR="00275209">
        <w:rPr>
          <w:b/>
          <w:spacing w:val="-5"/>
        </w:rPr>
        <w:t>Tim Bradley</w:t>
      </w:r>
      <w:r w:rsidR="005F75A7">
        <w:rPr>
          <w:b/>
          <w:spacing w:val="-5"/>
        </w:rPr>
        <w:t xml:space="preserve">, </w:t>
      </w:r>
      <w:r w:rsidR="005F75A7">
        <w:rPr>
          <w:spacing w:val="-5"/>
        </w:rPr>
        <w:t>Courtroom Deputy,</w:t>
      </w:r>
      <w:r w:rsidR="005F75A7" w:rsidRPr="004D3909">
        <w:rPr>
          <w:spacing w:val="-5"/>
        </w:rPr>
        <w:t xml:space="preserve"> </w:t>
      </w:r>
      <w:r w:rsidR="002E3534" w:rsidRPr="002E3534">
        <w:rPr>
          <w:spacing w:val="-5"/>
        </w:rPr>
        <w:t>not later than</w:t>
      </w:r>
      <w:r w:rsidR="002E3534">
        <w:rPr>
          <w:spacing w:val="-5"/>
        </w:rPr>
        <w:t xml:space="preserve"> </w:t>
      </w:r>
      <w:r w:rsidR="002E3534" w:rsidRPr="00FD5B67">
        <w:rPr>
          <w:b/>
          <w:highlight w:val="yellow"/>
        </w:rPr>
        <w:t>[</w:t>
      </w:r>
      <w:r w:rsidR="002E3534">
        <w:rPr>
          <w:b/>
          <w:highlight w:val="yellow"/>
        </w:rPr>
        <w:t>T</w:t>
      </w:r>
      <w:r w:rsidR="002E3534" w:rsidRPr="00FD5B67">
        <w:rPr>
          <w:b/>
          <w:highlight w:val="yellow"/>
        </w:rPr>
        <w:t>ime]</w:t>
      </w:r>
      <w:r w:rsidR="002E3534" w:rsidRPr="00FD5B67">
        <w:rPr>
          <w:b/>
        </w:rPr>
        <w:t xml:space="preserve"> </w:t>
      </w:r>
      <w:r w:rsidR="002E3534" w:rsidRPr="00FD5B67">
        <w:t xml:space="preserve">on </w:t>
      </w:r>
      <w:r w:rsidR="002E3534">
        <w:rPr>
          <w:b/>
          <w:highlight w:val="yellow"/>
        </w:rPr>
        <w:t>[D</w:t>
      </w:r>
      <w:r w:rsidR="002E3534" w:rsidRPr="00FD5B67">
        <w:rPr>
          <w:b/>
          <w:highlight w:val="yellow"/>
        </w:rPr>
        <w:t>ate]</w:t>
      </w:r>
      <w:r w:rsidR="002E3534">
        <w:rPr>
          <w:spacing w:val="-5"/>
        </w:rPr>
        <w:t xml:space="preserve">, </w:t>
      </w:r>
      <w:r w:rsidR="005F75A7">
        <w:rPr>
          <w:spacing w:val="-5"/>
        </w:rPr>
        <w:t xml:space="preserve">in separate three ring binders, </w:t>
      </w:r>
      <w:r w:rsidR="005F75A7" w:rsidRPr="004D3909">
        <w:rPr>
          <w:spacing w:val="-5"/>
        </w:rPr>
        <w:t>with each section sepa</w:t>
      </w:r>
      <w:r w:rsidR="005F75A7">
        <w:rPr>
          <w:spacing w:val="-5"/>
        </w:rPr>
        <w:t>rated by labeled tab dividers.  The electronic copy shall be e</w:t>
      </w:r>
      <w:r w:rsidR="00264C1B">
        <w:rPr>
          <w:spacing w:val="-5"/>
        </w:rPr>
        <w:t>-</w:t>
      </w:r>
      <w:r w:rsidR="005F75A7">
        <w:rPr>
          <w:spacing w:val="-5"/>
        </w:rPr>
        <w:t xml:space="preserve">mailed to </w:t>
      </w:r>
      <w:r w:rsidR="003B62AF">
        <w:t>chambers</w:t>
      </w:r>
      <w:r w:rsidR="002E3534">
        <w:rPr>
          <w:spacing w:val="-5"/>
        </w:rPr>
        <w:t xml:space="preserve"> </w:t>
      </w:r>
      <w:r w:rsidR="002E3534" w:rsidRPr="002E3534">
        <w:rPr>
          <w:spacing w:val="-5"/>
        </w:rPr>
        <w:t>not later than</w:t>
      </w:r>
      <w:r w:rsidR="002E3534">
        <w:rPr>
          <w:spacing w:val="-5"/>
        </w:rPr>
        <w:t xml:space="preserve"> </w:t>
      </w:r>
      <w:r w:rsidR="002E3534" w:rsidRPr="00FD5B67">
        <w:rPr>
          <w:b/>
          <w:highlight w:val="yellow"/>
        </w:rPr>
        <w:t>[</w:t>
      </w:r>
      <w:r w:rsidR="002E3534">
        <w:rPr>
          <w:b/>
          <w:highlight w:val="yellow"/>
        </w:rPr>
        <w:t>T</w:t>
      </w:r>
      <w:r w:rsidR="002E3534" w:rsidRPr="00FD5B67">
        <w:rPr>
          <w:b/>
          <w:highlight w:val="yellow"/>
        </w:rPr>
        <w:t>ime]</w:t>
      </w:r>
      <w:r w:rsidR="002E3534" w:rsidRPr="00FD5B67">
        <w:rPr>
          <w:b/>
        </w:rPr>
        <w:t xml:space="preserve"> </w:t>
      </w:r>
      <w:r w:rsidR="002E3534" w:rsidRPr="00FD5B67">
        <w:t xml:space="preserve">on </w:t>
      </w:r>
      <w:r w:rsidR="002E3534">
        <w:rPr>
          <w:b/>
          <w:highlight w:val="yellow"/>
        </w:rPr>
        <w:t>[D</w:t>
      </w:r>
      <w:r w:rsidR="002E3534" w:rsidRPr="00FD5B67">
        <w:rPr>
          <w:b/>
          <w:highlight w:val="yellow"/>
        </w:rPr>
        <w:t>ate]</w:t>
      </w:r>
      <w:r w:rsidR="002E3534">
        <w:rPr>
          <w:b/>
        </w:rPr>
        <w:t xml:space="preserve">.  </w:t>
      </w:r>
      <w:r w:rsidR="00E31446" w:rsidRPr="00B04177">
        <w:rPr>
          <w:b/>
          <w:spacing w:val="-5"/>
        </w:rPr>
        <w:t>Counsel are admonished NOT to use this e-mail address for ANY other purpose, u</w:t>
      </w:r>
      <w:r w:rsidR="00E31446">
        <w:rPr>
          <w:b/>
          <w:spacing w:val="-5"/>
        </w:rPr>
        <w:t>nless directed to do so by the c</w:t>
      </w:r>
      <w:r w:rsidR="00E31446" w:rsidRPr="00B04177">
        <w:rPr>
          <w:b/>
          <w:spacing w:val="-5"/>
        </w:rPr>
        <w:t>ourt.</w:t>
      </w:r>
    </w:p>
    <w:p w:rsidR="00E31446" w:rsidRPr="00B04177" w:rsidRDefault="00E31446" w:rsidP="00E31446">
      <w:pPr>
        <w:autoSpaceDE w:val="0"/>
        <w:autoSpaceDN w:val="0"/>
        <w:adjustRightInd w:val="0"/>
        <w:spacing w:line="480" w:lineRule="auto"/>
        <w:ind w:firstLine="360"/>
        <w:rPr>
          <w:spacing w:val="-5"/>
        </w:rPr>
      </w:pPr>
    </w:p>
    <w:p w:rsidR="00CC2614" w:rsidRPr="007B0B60" w:rsidRDefault="00FA4B4E" w:rsidP="00581AAF">
      <w:pPr>
        <w:pStyle w:val="ListParagraph"/>
        <w:numPr>
          <w:ilvl w:val="0"/>
          <w:numId w:val="8"/>
        </w:numPr>
        <w:spacing w:line="480" w:lineRule="auto"/>
        <w:rPr>
          <w:b/>
        </w:rPr>
      </w:pPr>
      <w:r>
        <w:rPr>
          <w:b/>
        </w:rPr>
        <w:t>JOINT PRETRIAL STATEMENT:</w:t>
      </w:r>
      <w:r>
        <w:rPr>
          <w:rStyle w:val="FootnoteReference"/>
          <w:b/>
        </w:rPr>
        <w:footnoteReference w:id="2"/>
      </w:r>
    </w:p>
    <w:p w:rsidR="00436EA3" w:rsidRPr="00FD5B67" w:rsidRDefault="00436EA3" w:rsidP="00CC2614">
      <w:pPr>
        <w:spacing w:line="480" w:lineRule="auto"/>
        <w:ind w:firstLine="360"/>
      </w:pPr>
      <w:r w:rsidRPr="00CC2614">
        <w:t>In</w:t>
      </w:r>
      <w:r w:rsidRPr="00FD5B67">
        <w:t xml:space="preserve"> accordance with Loca</w:t>
      </w:r>
      <w:r w:rsidR="00CC2614">
        <w:t xml:space="preserve">l Civil Rule 16.5(b), the Joint </w:t>
      </w:r>
      <w:r w:rsidRPr="00FD5B67">
        <w:t>Pretrial Statement must include the following:</w:t>
      </w:r>
    </w:p>
    <w:p w:rsidR="00B74245" w:rsidRPr="003057F4" w:rsidRDefault="00B74245" w:rsidP="00BE395B">
      <w:pPr>
        <w:pStyle w:val="ListParagraph"/>
        <w:numPr>
          <w:ilvl w:val="0"/>
          <w:numId w:val="1"/>
        </w:numPr>
        <w:autoSpaceDE w:val="0"/>
        <w:autoSpaceDN w:val="0"/>
        <w:adjustRightInd w:val="0"/>
        <w:ind w:left="720"/>
        <w:rPr>
          <w:spacing w:val="-5"/>
        </w:rPr>
      </w:pPr>
      <w:r w:rsidRPr="003057F4">
        <w:rPr>
          <w:b/>
          <w:spacing w:val="-5"/>
          <w:u w:val="single"/>
        </w:rPr>
        <w:t>Parties and Counsel:</w:t>
      </w:r>
      <w:r w:rsidRPr="003057F4">
        <w:rPr>
          <w:spacing w:val="-5"/>
        </w:rPr>
        <w:t xml:space="preserve">  List names, addresses, and telephone numbers of all counsel on whose behalf the Joint Pretrial Statement is filed.  In addition, provide the names of lead counsel who intend to try the case.  </w:t>
      </w:r>
      <w:r w:rsidR="003057F4" w:rsidRPr="003057F4">
        <w:rPr>
          <w:spacing w:val="-5"/>
        </w:rPr>
        <w:t>List names and addresses</w:t>
      </w:r>
      <w:r w:rsidR="003057F4">
        <w:rPr>
          <w:spacing w:val="-5"/>
        </w:rPr>
        <w:t xml:space="preserve"> of all parties.</w:t>
      </w:r>
    </w:p>
    <w:p w:rsidR="00B74245" w:rsidRPr="00FD5B67" w:rsidRDefault="00B74245" w:rsidP="00CC2614">
      <w:pPr>
        <w:pStyle w:val="ListParagraph"/>
        <w:autoSpaceDE w:val="0"/>
        <w:autoSpaceDN w:val="0"/>
        <w:adjustRightInd w:val="0"/>
        <w:rPr>
          <w:spacing w:val="-5"/>
        </w:rPr>
      </w:pPr>
    </w:p>
    <w:p w:rsidR="00436EA3" w:rsidRPr="00FD5B67" w:rsidRDefault="00A76897" w:rsidP="00CC2614">
      <w:pPr>
        <w:pStyle w:val="ListParagraph"/>
        <w:keepNext/>
        <w:numPr>
          <w:ilvl w:val="0"/>
          <w:numId w:val="1"/>
        </w:numPr>
        <w:ind w:left="720"/>
      </w:pPr>
      <w:r w:rsidRPr="00FD5B67">
        <w:rPr>
          <w:b/>
          <w:u w:val="single"/>
        </w:rPr>
        <w:lastRenderedPageBreak/>
        <w:t>Nature of the Case</w:t>
      </w:r>
      <w:r w:rsidRPr="00FD5B67">
        <w:rPr>
          <w:b/>
        </w:rPr>
        <w:t>:</w:t>
      </w:r>
      <w:r w:rsidRPr="00FD5B67">
        <w:t xml:space="preserve">  Provide a brief statement describing the nature of the case, the identities of the</w:t>
      </w:r>
      <w:r w:rsidR="007B0B60">
        <w:t xml:space="preserve"> parties, and the basis of the c</w:t>
      </w:r>
      <w:r w:rsidRPr="00FD5B67">
        <w:t xml:space="preserve">ourt’s jurisdiction.  This statement should be </w:t>
      </w:r>
      <w:r w:rsidR="00040FBD" w:rsidRPr="00FD5B67">
        <w:t xml:space="preserve">brief, clear, and non-argumentative </w:t>
      </w:r>
      <w:r w:rsidR="007B0B60">
        <w:t xml:space="preserve">so that </w:t>
      </w:r>
      <w:r w:rsidR="004E3954" w:rsidRPr="00FD5B67">
        <w:t>it is</w:t>
      </w:r>
      <w:r w:rsidR="00040FBD" w:rsidRPr="00FD5B67">
        <w:t xml:space="preserve"> appropriate for reading to the jury.</w:t>
      </w:r>
    </w:p>
    <w:p w:rsidR="00040FBD" w:rsidRPr="00FD5B67" w:rsidRDefault="00040FBD" w:rsidP="00CC2614">
      <w:pPr>
        <w:pStyle w:val="ListParagraph"/>
        <w:keepNext/>
      </w:pPr>
    </w:p>
    <w:p w:rsidR="00040FBD" w:rsidRPr="00FD5B67" w:rsidRDefault="00040FBD" w:rsidP="00CC2614">
      <w:pPr>
        <w:pStyle w:val="ListParagraph"/>
        <w:keepNext/>
        <w:numPr>
          <w:ilvl w:val="0"/>
          <w:numId w:val="1"/>
        </w:numPr>
        <w:ind w:left="720"/>
      </w:pPr>
      <w:r w:rsidRPr="00FD5B67">
        <w:rPr>
          <w:b/>
          <w:u w:val="single"/>
        </w:rPr>
        <w:t>Claims and/or Defenses</w:t>
      </w:r>
      <w:r w:rsidRPr="00FD5B67">
        <w:rPr>
          <w:b/>
        </w:rPr>
        <w:t>:</w:t>
      </w:r>
      <w:r w:rsidRPr="00FD5B67">
        <w:t xml:space="preserve">  Provide a concise statement setting forth each claim a party has against any other party (including counter-, cross-, and third-party claims).  The statement of defenses shall set forth each defense raised by a party to a </w:t>
      </w:r>
      <w:r w:rsidR="007B0B60">
        <w:t xml:space="preserve">specific </w:t>
      </w:r>
      <w:r w:rsidRPr="00FD5B67">
        <w:t>claim asserted against it.</w:t>
      </w:r>
    </w:p>
    <w:p w:rsidR="00040FBD" w:rsidRPr="00FD5B67" w:rsidRDefault="00040FBD" w:rsidP="00CC2614">
      <w:pPr>
        <w:pStyle w:val="ListParagraph"/>
        <w:ind w:left="360"/>
      </w:pPr>
    </w:p>
    <w:p w:rsidR="00040FBD" w:rsidRPr="00FD5B67" w:rsidRDefault="00040FBD" w:rsidP="00CC2614">
      <w:pPr>
        <w:pStyle w:val="ListParagraph"/>
        <w:keepNext/>
        <w:numPr>
          <w:ilvl w:val="0"/>
          <w:numId w:val="1"/>
        </w:numPr>
        <w:ind w:left="720"/>
      </w:pPr>
      <w:r w:rsidRPr="00FD5B67">
        <w:rPr>
          <w:b/>
          <w:u w:val="single"/>
        </w:rPr>
        <w:t>Undisputed Issues/Stipulations</w:t>
      </w:r>
      <w:r w:rsidRPr="00FD5B67">
        <w:rPr>
          <w:b/>
        </w:rPr>
        <w:t>:</w:t>
      </w:r>
      <w:r w:rsidRPr="00FD5B67">
        <w:t xml:space="preserve">  List all issues not in dispute or facts to which the parties have stipulated.</w:t>
      </w:r>
    </w:p>
    <w:p w:rsidR="00040FBD" w:rsidRPr="00FD5B67" w:rsidRDefault="00040FBD" w:rsidP="00CC2614">
      <w:pPr>
        <w:pStyle w:val="ListParagraph"/>
        <w:ind w:left="1080"/>
      </w:pPr>
    </w:p>
    <w:p w:rsidR="007B0B60" w:rsidRDefault="00040FBD" w:rsidP="00CC2614">
      <w:pPr>
        <w:pStyle w:val="ListParagraph"/>
        <w:keepNext/>
        <w:numPr>
          <w:ilvl w:val="0"/>
          <w:numId w:val="1"/>
        </w:numPr>
        <w:ind w:left="720"/>
      </w:pPr>
      <w:r w:rsidRPr="00FD5B67">
        <w:rPr>
          <w:b/>
          <w:u w:val="single"/>
        </w:rPr>
        <w:t>Witness Schedule</w:t>
      </w:r>
      <w:r w:rsidRPr="00FD5B67">
        <w:rPr>
          <w:b/>
        </w:rPr>
        <w:t>:</w:t>
      </w:r>
      <w:r w:rsidRPr="00FD5B67">
        <w:t xml:space="preserve">  </w:t>
      </w:r>
    </w:p>
    <w:p w:rsidR="007B0B60" w:rsidRDefault="007B0B60" w:rsidP="007B0B60">
      <w:pPr>
        <w:pStyle w:val="ListParagraph"/>
      </w:pPr>
    </w:p>
    <w:p w:rsidR="00040FBD" w:rsidRDefault="00040FBD" w:rsidP="007B0B60">
      <w:pPr>
        <w:pStyle w:val="ListParagraph"/>
        <w:keepNext/>
      </w:pPr>
      <w:r w:rsidRPr="00FD5B67">
        <w:t>List the name, address, and telephone number of each witness that may be called by a party, i</w:t>
      </w:r>
      <w:r w:rsidR="007B0B60">
        <w:t xml:space="preserve">ncluding rebuttal witnesses.  </w:t>
      </w:r>
      <w:r w:rsidRPr="00FD5B67">
        <w:t xml:space="preserve">The schedule shall set forth a brief description of the testimony to be given by the witness, and an estimate of the time necessary for direct examination.  Opinion witnesses shall be designated by an asterisk.  Witnesses who will be called solely for impeachment purposes </w:t>
      </w:r>
      <w:r w:rsidR="006427EE" w:rsidRPr="00FD5B67">
        <w:t>need not be listed.  N</w:t>
      </w:r>
      <w:r w:rsidRPr="00FD5B67">
        <w:t>o party may call at trial any witness the party has not listed in the Joint Pretrial Statemen</w:t>
      </w:r>
      <w:r w:rsidR="00CC71D3">
        <w:t xml:space="preserve">t </w:t>
      </w:r>
      <w:r w:rsidR="00CC71D3" w:rsidRPr="00FD5B67">
        <w:t>(except those called for impeachment purposes)</w:t>
      </w:r>
      <w:r w:rsidRPr="00FD5B67">
        <w:t>.</w:t>
      </w:r>
    </w:p>
    <w:p w:rsidR="00B94501" w:rsidRDefault="00B94501" w:rsidP="007B0B60">
      <w:pPr>
        <w:pStyle w:val="ListParagraph"/>
        <w:keepNext/>
      </w:pPr>
    </w:p>
    <w:p w:rsidR="00262DD0" w:rsidRDefault="00262DD0" w:rsidP="00820D11">
      <w:pPr>
        <w:pStyle w:val="ListParagraph"/>
        <w:keepNext/>
      </w:pPr>
      <w:r>
        <w:rPr>
          <w:sz w:val="23"/>
          <w:szCs w:val="23"/>
        </w:rPr>
        <w:t>Each party shall indicate whether any witnesses will testify through an interpreter and, if so, shall indicate in which language the witness shall testify. The parties are reminded that the Court does not provide interpreters in civil matters; the parties are to provide interpreters if needed.</w:t>
      </w:r>
    </w:p>
    <w:p w:rsidR="006427EE" w:rsidRPr="00FD5B67" w:rsidRDefault="006427EE" w:rsidP="00CC2614">
      <w:pPr>
        <w:pStyle w:val="ListParagraph"/>
        <w:ind w:left="1080"/>
      </w:pPr>
    </w:p>
    <w:p w:rsidR="006427EE" w:rsidRPr="00FD5B67" w:rsidRDefault="006427EE" w:rsidP="00CC2614">
      <w:pPr>
        <w:autoSpaceDE w:val="0"/>
        <w:autoSpaceDN w:val="0"/>
        <w:adjustRightInd w:val="0"/>
        <w:ind w:left="720"/>
        <w:rPr>
          <w:spacing w:val="-5"/>
        </w:rPr>
      </w:pPr>
      <w:r w:rsidRPr="00FD5B67">
        <w:rPr>
          <w:spacing w:val="-5"/>
        </w:rPr>
        <w:t xml:space="preserve">The listing of a witness does not commit the party to have such witness available at trial or to call such witness to testify, but it does preclude the party from objecting to the presentation of such witness’s testimony by another party.  </w:t>
      </w:r>
      <w:r w:rsidRPr="00666FAC">
        <w:rPr>
          <w:spacing w:val="-5"/>
        </w:rPr>
        <w:t xml:space="preserve">No listed witness will be precluded from testifying unless an objection is made in the Joint Pretrial Statement and the </w:t>
      </w:r>
      <w:r w:rsidR="001C1605" w:rsidRPr="00666FAC">
        <w:rPr>
          <w:spacing w:val="-5"/>
        </w:rPr>
        <w:t xml:space="preserve">specific </w:t>
      </w:r>
      <w:r w:rsidRPr="00666FAC">
        <w:rPr>
          <w:spacing w:val="-5"/>
        </w:rPr>
        <w:t>basis and supporting authority</w:t>
      </w:r>
      <w:r w:rsidR="00841BFC" w:rsidRPr="00666FAC">
        <w:rPr>
          <w:spacing w:val="-5"/>
        </w:rPr>
        <w:t xml:space="preserve"> for the objection are </w:t>
      </w:r>
      <w:r w:rsidRPr="00666FAC">
        <w:rPr>
          <w:spacing w:val="-5"/>
        </w:rPr>
        <w:t>articulated</w:t>
      </w:r>
      <w:r w:rsidRPr="00841BFC">
        <w:rPr>
          <w:b/>
          <w:spacing w:val="-5"/>
        </w:rPr>
        <w:t>.</w:t>
      </w:r>
      <w:r w:rsidRPr="00FD5B67">
        <w:rPr>
          <w:spacing w:val="-5"/>
        </w:rPr>
        <w:t xml:space="preserve">  The court will accept the parties’ written agreement to use a deposition at trial even though the witness is available.  In </w:t>
      </w:r>
      <w:r w:rsidR="00841BFC">
        <w:rPr>
          <w:spacing w:val="-5"/>
        </w:rPr>
        <w:t xml:space="preserve">the </w:t>
      </w:r>
      <w:r w:rsidRPr="00FD5B67">
        <w:rPr>
          <w:spacing w:val="-5"/>
        </w:rPr>
        <w:t>absence of such an agreement, parties must comply with Fed. R. Civ. P. 32.</w:t>
      </w:r>
    </w:p>
    <w:p w:rsidR="006427EE" w:rsidRPr="00FD5B67" w:rsidRDefault="006427EE" w:rsidP="007B0B60">
      <w:pPr>
        <w:pStyle w:val="ListParagraph"/>
        <w:ind w:left="1080"/>
        <w:rPr>
          <w:spacing w:val="-5"/>
        </w:rPr>
      </w:pPr>
    </w:p>
    <w:p w:rsidR="00841BFC" w:rsidRDefault="00D11B5F" w:rsidP="007B0B60">
      <w:pPr>
        <w:pStyle w:val="ListParagraph"/>
        <w:keepNext/>
        <w:numPr>
          <w:ilvl w:val="0"/>
          <w:numId w:val="1"/>
        </w:numPr>
        <w:ind w:left="720"/>
      </w:pPr>
      <w:r w:rsidRPr="00FD5B67">
        <w:rPr>
          <w:b/>
          <w:u w:val="single"/>
        </w:rPr>
        <w:t>Exhibit List</w:t>
      </w:r>
      <w:r w:rsidRPr="00FD5B67">
        <w:rPr>
          <w:b/>
        </w:rPr>
        <w:t>:</w:t>
      </w:r>
      <w:r w:rsidRPr="00FD5B67">
        <w:t xml:space="preserve"> </w:t>
      </w:r>
    </w:p>
    <w:p w:rsidR="00841BFC" w:rsidRDefault="00841BFC" w:rsidP="00841BFC">
      <w:pPr>
        <w:pStyle w:val="ListParagraph"/>
        <w:keepNext/>
        <w:rPr>
          <w:b/>
          <w:u w:val="single"/>
        </w:rPr>
      </w:pPr>
    </w:p>
    <w:p w:rsidR="003672F1" w:rsidRDefault="00D11B5F" w:rsidP="00287E03">
      <w:pPr>
        <w:autoSpaceDE w:val="0"/>
        <w:autoSpaceDN w:val="0"/>
        <w:adjustRightInd w:val="0"/>
        <w:ind w:left="720"/>
        <w:rPr>
          <w:spacing w:val="-5"/>
        </w:rPr>
      </w:pPr>
      <w:r w:rsidRPr="00FD5B67">
        <w:t>List and describe each exhibit to be offered in evidence, including (if possible) rebuttal exhibits, with each exhibit identified by number, tit</w:t>
      </w:r>
      <w:r w:rsidR="00EC0B76" w:rsidRPr="00FD5B67">
        <w:t xml:space="preserve">le, and date (if applicable).  </w:t>
      </w:r>
      <w:r w:rsidR="00287E03" w:rsidRPr="008F2E67">
        <w:rPr>
          <w:spacing w:val="-5"/>
        </w:rPr>
        <w:t xml:space="preserve">Counsel </w:t>
      </w:r>
      <w:r w:rsidR="00287E03" w:rsidRPr="008F2E67">
        <w:rPr>
          <w:spacing w:val="-5"/>
          <w:u w:val="single"/>
        </w:rPr>
        <w:t>must</w:t>
      </w:r>
      <w:r w:rsidR="00287E03" w:rsidRPr="008F2E67">
        <w:rPr>
          <w:spacing w:val="-5"/>
        </w:rPr>
        <w:t xml:space="preserve"> </w:t>
      </w:r>
      <w:r w:rsidR="00287E03">
        <w:rPr>
          <w:spacing w:val="-5"/>
        </w:rPr>
        <w:t xml:space="preserve">use the Exhibit List form found on the </w:t>
      </w:r>
      <w:r w:rsidR="00287E03" w:rsidRPr="00151525">
        <w:rPr>
          <w:spacing w:val="-5"/>
        </w:rPr>
        <w:t>Judge’</w:t>
      </w:r>
      <w:r w:rsidR="00287E03">
        <w:rPr>
          <w:spacing w:val="-5"/>
        </w:rPr>
        <w:t xml:space="preserve">s court webpage.  </w:t>
      </w:r>
    </w:p>
    <w:p w:rsidR="003672F1" w:rsidRDefault="003672F1" w:rsidP="00287E03">
      <w:pPr>
        <w:autoSpaceDE w:val="0"/>
        <w:autoSpaceDN w:val="0"/>
        <w:adjustRightInd w:val="0"/>
        <w:ind w:left="720"/>
        <w:rPr>
          <w:spacing w:val="-5"/>
        </w:rPr>
      </w:pPr>
    </w:p>
    <w:p w:rsidR="00040FBD" w:rsidRDefault="00D166AA" w:rsidP="00287E03">
      <w:pPr>
        <w:autoSpaceDE w:val="0"/>
        <w:autoSpaceDN w:val="0"/>
        <w:adjustRightInd w:val="0"/>
        <w:ind w:left="720"/>
      </w:pPr>
      <w:r>
        <w:t xml:space="preserve">No exhibit will be admitted at trial unless it is listed on the </w:t>
      </w:r>
      <w:r w:rsidR="000314D9">
        <w:t>Joint P</w:t>
      </w:r>
      <w:r>
        <w:t xml:space="preserve">retrial </w:t>
      </w:r>
      <w:r w:rsidR="000314D9">
        <w:t>S</w:t>
      </w:r>
      <w:r>
        <w:t xml:space="preserve">tatement.  </w:t>
      </w:r>
      <w:r w:rsidR="00EC0B76" w:rsidRPr="00FD5B67">
        <w:t>Each listed</w:t>
      </w:r>
      <w:r>
        <w:t xml:space="preserve"> exhibit will be presumed </w:t>
      </w:r>
      <w:r w:rsidR="00EC0B76" w:rsidRPr="00FD5B67">
        <w:t>authentic and admissible at tr</w:t>
      </w:r>
      <w:r>
        <w:t xml:space="preserve">ial unless a written objection specifying the </w:t>
      </w:r>
      <w:r w:rsidR="00D5363C">
        <w:t>specific basis of the objection</w:t>
      </w:r>
      <w:r>
        <w:t xml:space="preserve"> is made </w:t>
      </w:r>
      <w:r w:rsidR="00302E7A" w:rsidRPr="00FD5B67">
        <w:t xml:space="preserve">in the Joint Pretrial Statement.  </w:t>
      </w:r>
      <w:r w:rsidR="009533C8" w:rsidRPr="00FD5B67">
        <w:rPr>
          <w:b/>
        </w:rPr>
        <w:t xml:space="preserve">If there are objections to an exhibit listed in the Joint Pretrial Statement, the exhibit shall be produced </w:t>
      </w:r>
      <w:r w:rsidR="009533C8">
        <w:rPr>
          <w:b/>
        </w:rPr>
        <w:t xml:space="preserve">at the time the Joint Pretrial Statement is submitted.  </w:t>
      </w:r>
      <w:r>
        <w:rPr>
          <w:b/>
        </w:rPr>
        <w:t xml:space="preserve">Two copies of the </w:t>
      </w:r>
      <w:r w:rsidR="0092306A">
        <w:rPr>
          <w:b/>
        </w:rPr>
        <w:t>challenged e</w:t>
      </w:r>
      <w:r w:rsidR="00302E7A" w:rsidRPr="00FD5B67">
        <w:rPr>
          <w:b/>
        </w:rPr>
        <w:t xml:space="preserve">xhibits shall be submitted to the </w:t>
      </w:r>
      <w:r w:rsidR="00B4162D">
        <w:rPr>
          <w:b/>
        </w:rPr>
        <w:t>c</w:t>
      </w:r>
      <w:r w:rsidR="00302E7A" w:rsidRPr="00FD5B67">
        <w:rPr>
          <w:b/>
        </w:rPr>
        <w:t xml:space="preserve">ourt in </w:t>
      </w:r>
      <w:r>
        <w:rPr>
          <w:b/>
        </w:rPr>
        <w:t xml:space="preserve">separate </w:t>
      </w:r>
      <w:r w:rsidR="00302E7A" w:rsidRPr="00FD5B67">
        <w:rPr>
          <w:b/>
        </w:rPr>
        <w:t xml:space="preserve">three ring </w:t>
      </w:r>
      <w:r w:rsidR="00302E7A" w:rsidRPr="00FD5B67">
        <w:rPr>
          <w:b/>
        </w:rPr>
        <w:lastRenderedPageBreak/>
        <w:t>binders with appropriate tabs.</w:t>
      </w:r>
      <w:r>
        <w:rPr>
          <w:b/>
        </w:rPr>
        <w:t xml:space="preserve">  </w:t>
      </w:r>
      <w:r w:rsidRPr="00FD5B67">
        <w:t xml:space="preserve">Objections that are not disclosed in the Joint Pretrial Statement, except those pursuant to Fed. R. </w:t>
      </w:r>
      <w:proofErr w:type="spellStart"/>
      <w:r w:rsidRPr="00FD5B67">
        <w:t>Evid</w:t>
      </w:r>
      <w:proofErr w:type="spellEnd"/>
      <w:r w:rsidRPr="00FD5B67">
        <w:t xml:space="preserve">. 402 and 403, shall be deemed waived, unless such failure to timely object is excused by the </w:t>
      </w:r>
      <w:r w:rsidR="00B4162D">
        <w:t>c</w:t>
      </w:r>
      <w:r w:rsidRPr="00FD5B67">
        <w:t xml:space="preserve">ourt for good cause shown.  </w:t>
      </w:r>
    </w:p>
    <w:p w:rsidR="00D166AA" w:rsidRDefault="00D166AA" w:rsidP="007B0B60">
      <w:pPr>
        <w:pStyle w:val="ListParagraph"/>
        <w:keepNext/>
        <w:rPr>
          <w:b/>
          <w:u w:val="single"/>
        </w:rPr>
      </w:pPr>
    </w:p>
    <w:p w:rsidR="00D166AA" w:rsidRPr="00FD5B67" w:rsidRDefault="00A72B28" w:rsidP="007B0B60">
      <w:pPr>
        <w:pStyle w:val="ListParagraph"/>
        <w:keepNext/>
      </w:pPr>
      <w:r>
        <w:t>The court expects m</w:t>
      </w:r>
      <w:r w:rsidR="00D166AA" w:rsidRPr="00FD5B67">
        <w:t xml:space="preserve">ost objections to exhibits </w:t>
      </w:r>
      <w:r>
        <w:t>to</w:t>
      </w:r>
      <w:r w:rsidR="00D166AA" w:rsidRPr="00FD5B67">
        <w:t xml:space="preserve"> be cured by discussion between the parties, and the parties should stipulate to the admissibility of as many exhibits as possible.</w:t>
      </w:r>
    </w:p>
    <w:p w:rsidR="00302E7A" w:rsidRPr="00FD5B67" w:rsidRDefault="00302E7A" w:rsidP="007B0B60">
      <w:pPr>
        <w:pStyle w:val="ListParagraph"/>
        <w:keepNext/>
      </w:pPr>
    </w:p>
    <w:p w:rsidR="00302E7A" w:rsidRPr="00FD5B67" w:rsidRDefault="00302E7A" w:rsidP="007B0B60">
      <w:pPr>
        <w:pStyle w:val="ListParagraph"/>
        <w:keepNext/>
        <w:numPr>
          <w:ilvl w:val="1"/>
          <w:numId w:val="1"/>
        </w:numPr>
      </w:pPr>
      <w:r w:rsidRPr="00FD5B67">
        <w:rPr>
          <w:b/>
        </w:rPr>
        <w:t>Examination by Opposing Party:</w:t>
      </w:r>
      <w:r w:rsidRPr="00FD5B67">
        <w:t xml:space="preserve">  Except where beyond the party’s control or where otherwise impractical, each party shall make exhibits available for inspection and copying for the opposing party.</w:t>
      </w:r>
    </w:p>
    <w:p w:rsidR="00302E7A" w:rsidRPr="00FD5B67" w:rsidRDefault="00302E7A" w:rsidP="007B0B60">
      <w:pPr>
        <w:pStyle w:val="ListParagraph"/>
        <w:keepNext/>
        <w:ind w:left="1800"/>
      </w:pPr>
    </w:p>
    <w:p w:rsidR="00302E7A" w:rsidRPr="00FD5B67" w:rsidRDefault="00302E7A" w:rsidP="007B0B60">
      <w:pPr>
        <w:pStyle w:val="ListParagraph"/>
        <w:keepNext/>
        <w:numPr>
          <w:ilvl w:val="1"/>
          <w:numId w:val="1"/>
        </w:numPr>
      </w:pPr>
      <w:r w:rsidRPr="00FD5B67">
        <w:rPr>
          <w:b/>
        </w:rPr>
        <w:t>Authentication of Exhibits:</w:t>
      </w:r>
      <w:r w:rsidRPr="00FD5B67">
        <w:t xml:space="preserve">  Counsel requiring authentication of an opponent’s exhibit must notify offering counsel in writing within </w:t>
      </w:r>
      <w:r w:rsidRPr="00DB4B36">
        <w:rPr>
          <w:b/>
          <w:highlight w:val="yellow"/>
        </w:rPr>
        <w:t>(10) business</w:t>
      </w:r>
      <w:r w:rsidRPr="00FD5B67">
        <w:t xml:space="preserve"> days after the exhibit is identified and made available for examination.  Failure to do so shall be deemed an admission of authenticity.</w:t>
      </w:r>
    </w:p>
    <w:p w:rsidR="00902E16" w:rsidRPr="00FD5B67" w:rsidRDefault="00902E16" w:rsidP="007B0B60">
      <w:pPr>
        <w:keepNext/>
        <w:ind w:left="360"/>
      </w:pPr>
    </w:p>
    <w:p w:rsidR="008F2E67" w:rsidRPr="00287E03" w:rsidRDefault="00302E7A" w:rsidP="00287E03">
      <w:pPr>
        <w:pStyle w:val="ListParagraph"/>
        <w:keepNext/>
        <w:numPr>
          <w:ilvl w:val="1"/>
          <w:numId w:val="1"/>
        </w:numPr>
        <w:autoSpaceDE w:val="0"/>
        <w:autoSpaceDN w:val="0"/>
        <w:adjustRightInd w:val="0"/>
        <w:rPr>
          <w:spacing w:val="-5"/>
        </w:rPr>
      </w:pPr>
      <w:r w:rsidRPr="008F2E67">
        <w:rPr>
          <w:b/>
        </w:rPr>
        <w:t>Marking:</w:t>
      </w:r>
      <w:r w:rsidRPr="00FD5B67">
        <w:t xml:space="preserve">  </w:t>
      </w:r>
      <w:r w:rsidR="008F2E67" w:rsidRPr="00287E03">
        <w:rPr>
          <w:spacing w:val="-5"/>
        </w:rPr>
        <w:t xml:space="preserve">Each party that anticipates offering more than five (5) exhibits as substantive evidence shall pre-mark such exhibits in advance of trial, using exhibit labels and lists available from the Clerk of </w:t>
      </w:r>
      <w:r w:rsidR="00C26A21">
        <w:rPr>
          <w:spacing w:val="-5"/>
        </w:rPr>
        <w:t xml:space="preserve">the </w:t>
      </w:r>
      <w:r w:rsidR="008F2E67" w:rsidRPr="00287E03">
        <w:rPr>
          <w:spacing w:val="-5"/>
        </w:rPr>
        <w:t xml:space="preserve">Court.  The court will provide up to 100 labels; if a party needs more labels, that party must use labels of the same type as those supplied by the court.  The court urges counsel to be judicious in determining which documents actually are relevant to necessary elements of the case.  </w:t>
      </w:r>
    </w:p>
    <w:p w:rsidR="0091738B" w:rsidRPr="00FD5B67" w:rsidRDefault="0091738B" w:rsidP="00C37F63">
      <w:pPr>
        <w:keepNext/>
      </w:pPr>
    </w:p>
    <w:p w:rsidR="00302E7A" w:rsidRPr="00FD5B67" w:rsidRDefault="0091738B" w:rsidP="003D64CD">
      <w:pPr>
        <w:pStyle w:val="ListParagraph"/>
        <w:keepNext/>
        <w:numPr>
          <w:ilvl w:val="0"/>
          <w:numId w:val="1"/>
        </w:numPr>
        <w:ind w:left="720"/>
      </w:pPr>
      <w:r w:rsidRPr="00FD5B67">
        <w:rPr>
          <w:b/>
          <w:u w:val="single"/>
        </w:rPr>
        <w:t>Deposition Testimony</w:t>
      </w:r>
      <w:r w:rsidRPr="00FD5B67">
        <w:rPr>
          <w:b/>
        </w:rPr>
        <w:t>:</w:t>
      </w:r>
      <w:r w:rsidRPr="00FD5B67">
        <w:t xml:space="preserve">  </w:t>
      </w:r>
      <w:r w:rsidR="00902E16" w:rsidRPr="00FD5B67">
        <w:t xml:space="preserve">Identify each deposition or portion thereof, by page and line numbers, that the party intends to offer in evidence.  All cross-designations under Fed. R. </w:t>
      </w:r>
      <w:proofErr w:type="spellStart"/>
      <w:r w:rsidR="00902E16" w:rsidRPr="00FD5B67">
        <w:t>Evid</w:t>
      </w:r>
      <w:proofErr w:type="spellEnd"/>
      <w:r w:rsidR="00902E16" w:rsidRPr="00FD5B67">
        <w:t>. 106 must be identified as well.  Designated or cross-designated deposition testimony will be deemed potentially admissible at trial</w:t>
      </w:r>
      <w:r w:rsidR="00731C95">
        <w:t>,</w:t>
      </w:r>
      <w:r w:rsidR="00902E16" w:rsidRPr="00FD5B67">
        <w:t xml:space="preserve"> unless an objection is made in the Joint Pretrial Statement.  The objecting party must note the basis for the objection</w:t>
      </w:r>
      <w:r w:rsidR="00DF6F4B">
        <w:t>,</w:t>
      </w:r>
      <w:r w:rsidR="00902E16" w:rsidRPr="00FD5B67">
        <w:t xml:space="preserve"> as well as provide supporting authority.  Any objections to deposition testimony</w:t>
      </w:r>
      <w:r w:rsidR="00916A15" w:rsidRPr="00FD5B67">
        <w:t xml:space="preserve"> shall be accompanied by excerpt</w:t>
      </w:r>
      <w:r w:rsidR="00902E16" w:rsidRPr="00FD5B67">
        <w:t>s from the depositions</w:t>
      </w:r>
      <w:r w:rsidR="00DF6F4B">
        <w:t>,</w:t>
      </w:r>
      <w:r w:rsidR="00902E16" w:rsidRPr="00FD5B67">
        <w:t xml:space="preserve"> including the testimony to which the objection relates.  Objections not disclosed in the Joint Pretrial Statement, except those pursuant to Fed. R. </w:t>
      </w:r>
      <w:proofErr w:type="spellStart"/>
      <w:r w:rsidR="00902E16" w:rsidRPr="00FD5B67">
        <w:t>Evid</w:t>
      </w:r>
      <w:proofErr w:type="spellEnd"/>
      <w:r w:rsidR="00902E16" w:rsidRPr="00FD5B67">
        <w:t xml:space="preserve">. 402 and 403, shall be deemed waived, unless such failure to timely object is excused by the </w:t>
      </w:r>
      <w:r w:rsidR="00B4162D">
        <w:t>c</w:t>
      </w:r>
      <w:r w:rsidR="00902E16" w:rsidRPr="00FD5B67">
        <w:t>ourt for good cause shown.</w:t>
      </w:r>
    </w:p>
    <w:p w:rsidR="00902E16" w:rsidRPr="00FD5B67" w:rsidRDefault="00902E16" w:rsidP="003D64CD">
      <w:pPr>
        <w:pStyle w:val="ListParagraph"/>
        <w:keepNext/>
        <w:ind w:left="1440"/>
      </w:pPr>
    </w:p>
    <w:p w:rsidR="00902E16" w:rsidRPr="00FD5B67" w:rsidRDefault="00902E16" w:rsidP="003D64CD">
      <w:pPr>
        <w:pStyle w:val="ListParagraph"/>
        <w:keepNext/>
        <w:numPr>
          <w:ilvl w:val="0"/>
          <w:numId w:val="1"/>
        </w:numPr>
        <w:ind w:left="720"/>
      </w:pPr>
      <w:r w:rsidRPr="00FD5B67">
        <w:rPr>
          <w:b/>
          <w:u w:val="single"/>
        </w:rPr>
        <w:t>Demonstrative</w:t>
      </w:r>
      <w:r w:rsidR="001C1605">
        <w:rPr>
          <w:b/>
          <w:u w:val="single"/>
        </w:rPr>
        <w:t>/Physical/Videotape</w:t>
      </w:r>
      <w:r w:rsidRPr="00FD5B67">
        <w:rPr>
          <w:b/>
          <w:u w:val="single"/>
        </w:rPr>
        <w:t xml:space="preserve"> Evidence</w:t>
      </w:r>
      <w:r w:rsidRPr="00FD5B67">
        <w:rPr>
          <w:b/>
        </w:rPr>
        <w:t>:</w:t>
      </w:r>
      <w:r w:rsidR="001C1605">
        <w:t xml:space="preserve">  Describe all demonstrative, physical and/or videotape evidence</w:t>
      </w:r>
      <w:r w:rsidRPr="00FD5B67">
        <w:t xml:space="preserve"> that will be used at trial.  </w:t>
      </w:r>
      <w:r w:rsidR="001C1605">
        <w:t xml:space="preserve">Such </w:t>
      </w:r>
      <w:r w:rsidRPr="00FD5B67">
        <w:t>evidence listed in the Joint Pretrial Statement shall be deemed potentially admissible at trial</w:t>
      </w:r>
      <w:r w:rsidR="00731C95">
        <w:t>,</w:t>
      </w:r>
      <w:r w:rsidRPr="00FD5B67">
        <w:t xml:space="preserve"> unless an objection is made in the Joint Pretrial Statement</w:t>
      </w:r>
      <w:r w:rsidR="00363944">
        <w:t xml:space="preserve">, along with the </w:t>
      </w:r>
      <w:r w:rsidR="001C1605">
        <w:t xml:space="preserve">specific </w:t>
      </w:r>
      <w:r w:rsidRPr="00FD5B67">
        <w:t xml:space="preserve">basis for the objection </w:t>
      </w:r>
      <w:r w:rsidR="00363944">
        <w:t>and</w:t>
      </w:r>
      <w:r w:rsidRPr="00FD5B67">
        <w:t xml:space="preserve"> supporting </w:t>
      </w:r>
      <w:r w:rsidR="00666FAC">
        <w:t xml:space="preserve">legal </w:t>
      </w:r>
      <w:r w:rsidRPr="00FD5B67">
        <w:t>authority.</w:t>
      </w:r>
    </w:p>
    <w:p w:rsidR="00902E16" w:rsidRPr="00FD5B67" w:rsidRDefault="00902E16" w:rsidP="003D64CD">
      <w:pPr>
        <w:pStyle w:val="ListParagraph"/>
        <w:ind w:left="1080"/>
      </w:pPr>
    </w:p>
    <w:p w:rsidR="00902E16" w:rsidRPr="00FD5B67" w:rsidRDefault="00902E16" w:rsidP="003D64CD">
      <w:pPr>
        <w:pStyle w:val="ListParagraph"/>
        <w:keepNext/>
        <w:numPr>
          <w:ilvl w:val="0"/>
          <w:numId w:val="1"/>
        </w:numPr>
        <w:ind w:left="720"/>
      </w:pPr>
      <w:r w:rsidRPr="00FD5B67">
        <w:rPr>
          <w:b/>
          <w:u w:val="single"/>
        </w:rPr>
        <w:t>Relief Sought</w:t>
      </w:r>
      <w:r w:rsidRPr="00FD5B67">
        <w:rPr>
          <w:b/>
        </w:rPr>
        <w:t>:</w:t>
      </w:r>
      <w:r w:rsidRPr="00FD5B67">
        <w:t xml:space="preserve">  Set forth separately each element of damages and the monetary amount claimed (including prejudgment interest, punitive damages, and attorney’s fees).  Do not include amounts claim</w:t>
      </w:r>
      <w:r w:rsidR="00EE6481" w:rsidRPr="00FD5B67">
        <w:t>ed</w:t>
      </w:r>
      <w:r w:rsidRPr="00FD5B67">
        <w:t xml:space="preserve"> for intangible damages.  Set forth all other types of relief sough</w:t>
      </w:r>
      <w:r w:rsidR="00423C98" w:rsidRPr="00FD5B67">
        <w:t>t</w:t>
      </w:r>
      <w:r w:rsidRPr="00FD5B67">
        <w:t xml:space="preserve"> against any party.</w:t>
      </w:r>
    </w:p>
    <w:p w:rsidR="00902E16" w:rsidRPr="00FD5B67" w:rsidRDefault="00902E16" w:rsidP="003D64CD">
      <w:pPr>
        <w:pStyle w:val="ListParagraph"/>
        <w:ind w:left="360"/>
      </w:pPr>
    </w:p>
    <w:p w:rsidR="00902E16" w:rsidRDefault="00902E16" w:rsidP="003D64CD">
      <w:pPr>
        <w:pStyle w:val="ListParagraph"/>
        <w:keepNext/>
        <w:numPr>
          <w:ilvl w:val="0"/>
          <w:numId w:val="1"/>
        </w:numPr>
        <w:ind w:left="720"/>
      </w:pPr>
      <w:r w:rsidRPr="00FD5B67">
        <w:rPr>
          <w:b/>
          <w:u w:val="single"/>
        </w:rPr>
        <w:lastRenderedPageBreak/>
        <w:t>Pending Motions</w:t>
      </w:r>
      <w:r w:rsidRPr="00FD5B67">
        <w:rPr>
          <w:b/>
        </w:rPr>
        <w:t>:</w:t>
      </w:r>
      <w:r w:rsidRPr="00FD5B67">
        <w:t xml:space="preserve">  List all pending motions, including motions </w:t>
      </w:r>
      <w:r w:rsidRPr="002762FF">
        <w:rPr>
          <w:i/>
        </w:rPr>
        <w:t xml:space="preserve">in </w:t>
      </w:r>
      <w:proofErr w:type="spellStart"/>
      <w:r w:rsidRPr="002762FF">
        <w:rPr>
          <w:i/>
        </w:rPr>
        <w:t>limine</w:t>
      </w:r>
      <w:proofErr w:type="spellEnd"/>
      <w:r w:rsidRPr="00FD5B67">
        <w:t>, and indicate the title and filing date.</w:t>
      </w:r>
    </w:p>
    <w:p w:rsidR="00BC0B9F" w:rsidRDefault="00BC0B9F" w:rsidP="00BC0B9F">
      <w:pPr>
        <w:pStyle w:val="ListParagraph"/>
      </w:pPr>
    </w:p>
    <w:p w:rsidR="00BC0B9F" w:rsidRDefault="00BC0B9F" w:rsidP="00666FAC">
      <w:pPr>
        <w:pStyle w:val="ListParagraph"/>
        <w:keepNext/>
        <w:numPr>
          <w:ilvl w:val="0"/>
          <w:numId w:val="1"/>
        </w:numPr>
        <w:ind w:left="720"/>
      </w:pPr>
      <w:r w:rsidRPr="00BC0B9F">
        <w:rPr>
          <w:b/>
          <w:u w:val="single"/>
        </w:rPr>
        <w:t>Jury Cases</w:t>
      </w:r>
      <w:r w:rsidRPr="0092306A">
        <w:rPr>
          <w:b/>
        </w:rPr>
        <w:t>:</w:t>
      </w:r>
      <w:r w:rsidRPr="00BC0B9F">
        <w:t xml:space="preserve">  In jury cases, the parties also must submit</w:t>
      </w:r>
    </w:p>
    <w:p w:rsidR="00BC0B9F" w:rsidRPr="00BC0B9F" w:rsidRDefault="00BC0B9F" w:rsidP="00666FAC">
      <w:pPr>
        <w:keepNext/>
        <w:ind w:left="360"/>
      </w:pPr>
    </w:p>
    <w:p w:rsidR="00F026E3" w:rsidRPr="00666FAC" w:rsidRDefault="00F026E3" w:rsidP="00666FAC">
      <w:pPr>
        <w:pStyle w:val="ListParagraph"/>
        <w:numPr>
          <w:ilvl w:val="0"/>
          <w:numId w:val="6"/>
        </w:numPr>
        <w:autoSpaceDE w:val="0"/>
        <w:autoSpaceDN w:val="0"/>
        <w:adjustRightInd w:val="0"/>
        <w:rPr>
          <w:b/>
          <w:spacing w:val="-5"/>
        </w:rPr>
      </w:pPr>
      <w:r w:rsidRPr="00666FAC">
        <w:rPr>
          <w:b/>
          <w:spacing w:val="-5"/>
        </w:rPr>
        <w:t xml:space="preserve">Any waiver of a jury </w:t>
      </w:r>
      <w:r w:rsidR="00666FAC" w:rsidRPr="00666FAC">
        <w:rPr>
          <w:b/>
          <w:spacing w:val="-5"/>
        </w:rPr>
        <w:t>trial</w:t>
      </w:r>
      <w:r w:rsidRPr="00666FAC">
        <w:rPr>
          <w:b/>
          <w:spacing w:val="-5"/>
        </w:rPr>
        <w:t>;</w:t>
      </w:r>
    </w:p>
    <w:p w:rsidR="00F026E3" w:rsidRDefault="00F026E3" w:rsidP="00666FAC">
      <w:pPr>
        <w:pStyle w:val="ListParagraph"/>
        <w:autoSpaceDE w:val="0"/>
        <w:autoSpaceDN w:val="0"/>
        <w:adjustRightInd w:val="0"/>
        <w:ind w:left="1080"/>
        <w:rPr>
          <w:spacing w:val="-5"/>
        </w:rPr>
      </w:pPr>
    </w:p>
    <w:p w:rsidR="00BC0B9F" w:rsidRDefault="00666FAC" w:rsidP="00666FAC">
      <w:pPr>
        <w:pStyle w:val="ListParagraph"/>
        <w:numPr>
          <w:ilvl w:val="0"/>
          <w:numId w:val="6"/>
        </w:numPr>
        <w:autoSpaceDE w:val="0"/>
        <w:autoSpaceDN w:val="0"/>
        <w:adjustRightInd w:val="0"/>
        <w:rPr>
          <w:spacing w:val="-5"/>
        </w:rPr>
      </w:pPr>
      <w:r>
        <w:rPr>
          <w:b/>
          <w:spacing w:val="-5"/>
        </w:rPr>
        <w:t>P</w:t>
      </w:r>
      <w:r w:rsidR="00BC0B9F" w:rsidRPr="00666FAC">
        <w:rPr>
          <w:b/>
          <w:spacing w:val="-5"/>
        </w:rPr>
        <w:t xml:space="preserve">roposed </w:t>
      </w:r>
      <w:proofErr w:type="spellStart"/>
      <w:r w:rsidR="00BC0B9F" w:rsidRPr="00666FAC">
        <w:rPr>
          <w:b/>
          <w:spacing w:val="-5"/>
        </w:rPr>
        <w:t>voir</w:t>
      </w:r>
      <w:proofErr w:type="spellEnd"/>
      <w:r w:rsidR="00BC0B9F" w:rsidRPr="00666FAC">
        <w:rPr>
          <w:b/>
          <w:spacing w:val="-5"/>
        </w:rPr>
        <w:t xml:space="preserve"> dire questions</w:t>
      </w:r>
      <w:r w:rsidR="00BC0B9F" w:rsidRPr="004D3909">
        <w:rPr>
          <w:spacing w:val="-5"/>
        </w:rPr>
        <w:t xml:space="preserve"> that indicate</w:t>
      </w:r>
      <w:r w:rsidR="00151525">
        <w:rPr>
          <w:spacing w:val="-5"/>
        </w:rPr>
        <w:t xml:space="preserve"> </w:t>
      </w:r>
    </w:p>
    <w:p w:rsidR="00666FAC" w:rsidRPr="00666FAC" w:rsidRDefault="00666FAC" w:rsidP="00666FAC">
      <w:pPr>
        <w:pStyle w:val="ListParagraph"/>
        <w:rPr>
          <w:spacing w:val="-5"/>
        </w:rPr>
      </w:pPr>
    </w:p>
    <w:p w:rsidR="00BC0B9F" w:rsidRPr="004D3909" w:rsidRDefault="00BC0B9F" w:rsidP="00666FAC">
      <w:pPr>
        <w:pStyle w:val="ListParagraph"/>
        <w:numPr>
          <w:ilvl w:val="1"/>
          <w:numId w:val="6"/>
        </w:numPr>
        <w:autoSpaceDE w:val="0"/>
        <w:autoSpaceDN w:val="0"/>
        <w:adjustRightInd w:val="0"/>
        <w:rPr>
          <w:spacing w:val="-5"/>
        </w:rPr>
      </w:pPr>
      <w:r w:rsidRPr="004D3909">
        <w:rPr>
          <w:spacing w:val="-5"/>
        </w:rPr>
        <w:t xml:space="preserve">the </w:t>
      </w:r>
      <w:proofErr w:type="spellStart"/>
      <w:r w:rsidRPr="004D3909">
        <w:rPr>
          <w:spacing w:val="-5"/>
        </w:rPr>
        <w:t>voir</w:t>
      </w:r>
      <w:proofErr w:type="spellEnd"/>
      <w:r w:rsidRPr="004D3909">
        <w:rPr>
          <w:spacing w:val="-5"/>
        </w:rPr>
        <w:t xml:space="preserve"> dire question</w:t>
      </w:r>
      <w:r>
        <w:rPr>
          <w:spacing w:val="-5"/>
        </w:rPr>
        <w:t>s</w:t>
      </w:r>
      <w:r w:rsidRPr="004D3909">
        <w:rPr>
          <w:spacing w:val="-5"/>
        </w:rPr>
        <w:t xml:space="preserve"> on which the parties agree; and </w:t>
      </w:r>
    </w:p>
    <w:p w:rsidR="00BC0B9F" w:rsidRPr="004D3909" w:rsidRDefault="00BC0B9F" w:rsidP="00666FAC">
      <w:pPr>
        <w:pStyle w:val="ListParagraph"/>
        <w:numPr>
          <w:ilvl w:val="1"/>
          <w:numId w:val="6"/>
        </w:numPr>
        <w:autoSpaceDE w:val="0"/>
        <w:autoSpaceDN w:val="0"/>
        <w:adjustRightInd w:val="0"/>
        <w:rPr>
          <w:spacing w:val="-5"/>
        </w:rPr>
      </w:pPr>
      <w:r w:rsidRPr="004D3909">
        <w:rPr>
          <w:spacing w:val="-5"/>
        </w:rPr>
        <w:t xml:space="preserve">the </w:t>
      </w:r>
      <w:proofErr w:type="spellStart"/>
      <w:r w:rsidRPr="004D3909">
        <w:rPr>
          <w:spacing w:val="-5"/>
        </w:rPr>
        <w:t>voir</w:t>
      </w:r>
      <w:proofErr w:type="spellEnd"/>
      <w:r w:rsidRPr="004D3909">
        <w:rPr>
          <w:spacing w:val="-5"/>
        </w:rPr>
        <w:t xml:space="preserve"> dire questions on which the parties disagree, with specific objections noted below each disputed question and supporting legal authority (if any); </w:t>
      </w:r>
    </w:p>
    <w:p w:rsidR="00BC0B9F" w:rsidRPr="004D3909" w:rsidRDefault="00BC0B9F" w:rsidP="00666FAC">
      <w:pPr>
        <w:pStyle w:val="ListParagraph"/>
        <w:autoSpaceDE w:val="0"/>
        <w:autoSpaceDN w:val="0"/>
        <w:adjustRightInd w:val="0"/>
        <w:ind w:left="1440"/>
        <w:rPr>
          <w:spacing w:val="-5"/>
        </w:rPr>
      </w:pPr>
    </w:p>
    <w:p w:rsidR="00A144F7" w:rsidRPr="00A144F7" w:rsidRDefault="00666FAC" w:rsidP="00666FAC">
      <w:pPr>
        <w:pStyle w:val="ListParagraph"/>
        <w:numPr>
          <w:ilvl w:val="0"/>
          <w:numId w:val="6"/>
        </w:numPr>
        <w:autoSpaceDE w:val="0"/>
        <w:autoSpaceDN w:val="0"/>
        <w:adjustRightInd w:val="0"/>
        <w:rPr>
          <w:spacing w:val="-5"/>
        </w:rPr>
      </w:pPr>
      <w:r w:rsidRPr="00666FAC">
        <w:rPr>
          <w:b/>
          <w:spacing w:val="-5"/>
        </w:rPr>
        <w:t>A</w:t>
      </w:r>
      <w:r w:rsidR="00BC0B9F" w:rsidRPr="00666FAC">
        <w:rPr>
          <w:b/>
          <w:spacing w:val="-5"/>
        </w:rPr>
        <w:t xml:space="preserve"> list of proposed jury instructions</w:t>
      </w:r>
      <w:r w:rsidR="00BC0B9F" w:rsidRPr="00A144F7">
        <w:rPr>
          <w:spacing w:val="-5"/>
        </w:rPr>
        <w:t>,</w:t>
      </w:r>
      <w:r w:rsidR="0086418B">
        <w:rPr>
          <w:spacing w:val="-5"/>
        </w:rPr>
        <w:t xml:space="preserve"> </w:t>
      </w:r>
      <w:r w:rsidR="00BC0B9F" w:rsidRPr="00A144F7">
        <w:rPr>
          <w:spacing w:val="-5"/>
        </w:rPr>
        <w:t xml:space="preserve">followed by the text of each proposed instruction, </w:t>
      </w:r>
      <w:r w:rsidR="00A144F7">
        <w:rPr>
          <w:spacing w:val="-5"/>
        </w:rPr>
        <w:t xml:space="preserve">as well as </w:t>
      </w:r>
      <w:r w:rsidR="00A144F7" w:rsidRPr="00A144F7">
        <w:rPr>
          <w:spacing w:val="-5"/>
        </w:rPr>
        <w:t xml:space="preserve">the </w:t>
      </w:r>
      <w:r w:rsidR="00A144F7">
        <w:rPr>
          <w:spacing w:val="-5"/>
        </w:rPr>
        <w:t xml:space="preserve">specific </w:t>
      </w:r>
      <w:r w:rsidR="00A144F7" w:rsidRPr="00A144F7">
        <w:rPr>
          <w:spacing w:val="-5"/>
        </w:rPr>
        <w:t xml:space="preserve">source </w:t>
      </w:r>
      <w:r w:rsidR="00A144F7">
        <w:rPr>
          <w:spacing w:val="-5"/>
        </w:rPr>
        <w:t xml:space="preserve">and citation for </w:t>
      </w:r>
      <w:r w:rsidR="00A144F7" w:rsidRPr="00A144F7">
        <w:rPr>
          <w:spacing w:val="-5"/>
        </w:rPr>
        <w:t>the proposed instruct</w:t>
      </w:r>
      <w:r w:rsidR="00A144F7">
        <w:rPr>
          <w:spacing w:val="-5"/>
        </w:rPr>
        <w:t xml:space="preserve">ions (e.g., Standardized Civil Jury Instruction </w:t>
      </w:r>
      <w:r w:rsidR="00A144F7" w:rsidRPr="00A144F7">
        <w:rPr>
          <w:spacing w:val="-5"/>
        </w:rPr>
        <w:t>for the District of Columbia</w:t>
      </w:r>
      <w:r w:rsidR="00A144F7">
        <w:rPr>
          <w:spacing w:val="-5"/>
        </w:rPr>
        <w:t xml:space="preserve"> 2.01:</w:t>
      </w:r>
      <w:r w:rsidR="00A144F7" w:rsidRPr="00A144F7">
        <w:rPr>
          <w:spacing w:val="-5"/>
        </w:rPr>
        <w:t xml:space="preserve"> </w:t>
      </w:r>
      <w:r w:rsidR="00A144F7">
        <w:rPr>
          <w:spacing w:val="-5"/>
        </w:rPr>
        <w:t>Evidence in the Case)</w:t>
      </w:r>
      <w:r w:rsidR="009F76DD" w:rsidRPr="00A144F7">
        <w:rPr>
          <w:spacing w:val="-5"/>
        </w:rPr>
        <w:t xml:space="preserve"> </w:t>
      </w:r>
      <w:r w:rsidR="00A144F7" w:rsidRPr="00A144F7">
        <w:rPr>
          <w:spacing w:val="-5"/>
        </w:rPr>
        <w:t xml:space="preserve">or, for modified or new instructions, </w:t>
      </w:r>
      <w:r w:rsidR="00A144F7">
        <w:rPr>
          <w:spacing w:val="-5"/>
        </w:rPr>
        <w:t>specific</w:t>
      </w:r>
      <w:r w:rsidR="00A144F7" w:rsidRPr="00A144F7">
        <w:rPr>
          <w:spacing w:val="-5"/>
        </w:rPr>
        <w:t xml:space="preserve"> supporting legal authority</w:t>
      </w:r>
      <w:r w:rsidR="00195FF9">
        <w:rPr>
          <w:spacing w:val="-5"/>
        </w:rPr>
        <w:t xml:space="preserve">.  </w:t>
      </w:r>
      <w:r w:rsidR="009F76DD">
        <w:rPr>
          <w:spacing w:val="-5"/>
        </w:rPr>
        <w:t>Any variations or alter</w:t>
      </w:r>
      <w:r>
        <w:rPr>
          <w:spacing w:val="-5"/>
        </w:rPr>
        <w:t>ations of standard jury</w:t>
      </w:r>
      <w:r w:rsidR="009F76DD">
        <w:rPr>
          <w:spacing w:val="-5"/>
        </w:rPr>
        <w:t xml:space="preserve"> ins</w:t>
      </w:r>
      <w:r w:rsidR="00A5289F">
        <w:rPr>
          <w:spacing w:val="-5"/>
        </w:rPr>
        <w:t xml:space="preserve">tructions shall be so noted and the proposed instructions shall be formatted so that each individual instruction begins a new page.  </w:t>
      </w:r>
      <w:r w:rsidR="00E67B93">
        <w:rPr>
          <w:spacing w:val="-5"/>
        </w:rPr>
        <w:t>Ad</w:t>
      </w:r>
      <w:r w:rsidR="00195FF9">
        <w:rPr>
          <w:spacing w:val="-5"/>
        </w:rPr>
        <w:t>ditiona</w:t>
      </w:r>
      <w:r w:rsidR="0092306A">
        <w:rPr>
          <w:spacing w:val="-5"/>
        </w:rPr>
        <w:t>lly, the parties shall indicate</w:t>
      </w:r>
    </w:p>
    <w:p w:rsidR="00A144F7" w:rsidRPr="004D3909" w:rsidRDefault="00A144F7" w:rsidP="00666FAC">
      <w:pPr>
        <w:pStyle w:val="ListParagraph"/>
        <w:autoSpaceDE w:val="0"/>
        <w:autoSpaceDN w:val="0"/>
        <w:adjustRightInd w:val="0"/>
        <w:ind w:left="1080"/>
        <w:rPr>
          <w:spacing w:val="-5"/>
        </w:rPr>
      </w:pPr>
    </w:p>
    <w:p w:rsidR="00BC0B9F" w:rsidRPr="004D3909" w:rsidRDefault="00BC0B9F" w:rsidP="00666FAC">
      <w:pPr>
        <w:pStyle w:val="ListParagraph"/>
        <w:numPr>
          <w:ilvl w:val="1"/>
          <w:numId w:val="6"/>
        </w:numPr>
        <w:autoSpaceDE w:val="0"/>
        <w:autoSpaceDN w:val="0"/>
        <w:adjustRightInd w:val="0"/>
        <w:rPr>
          <w:spacing w:val="-5"/>
        </w:rPr>
      </w:pPr>
      <w:r w:rsidRPr="004D3909">
        <w:rPr>
          <w:spacing w:val="-5"/>
        </w:rPr>
        <w:t xml:space="preserve">the instructions on which the parties agree; </w:t>
      </w:r>
      <w:r w:rsidR="00C000CA">
        <w:rPr>
          <w:spacing w:val="-5"/>
        </w:rPr>
        <w:t xml:space="preserve"> and</w:t>
      </w:r>
    </w:p>
    <w:p w:rsidR="00BC0B9F" w:rsidRDefault="00BC0B9F" w:rsidP="00666FAC">
      <w:pPr>
        <w:pStyle w:val="ListParagraph"/>
        <w:numPr>
          <w:ilvl w:val="1"/>
          <w:numId w:val="6"/>
        </w:numPr>
        <w:autoSpaceDE w:val="0"/>
        <w:autoSpaceDN w:val="0"/>
        <w:adjustRightInd w:val="0"/>
        <w:rPr>
          <w:spacing w:val="-5"/>
        </w:rPr>
      </w:pPr>
      <w:r w:rsidRPr="004D3909">
        <w:rPr>
          <w:spacing w:val="-5"/>
        </w:rPr>
        <w:t>the instructions on which the parties disagree, with specific objections noted below each disputed instruction and supportin</w:t>
      </w:r>
      <w:r w:rsidR="00195FF9">
        <w:rPr>
          <w:spacing w:val="-5"/>
        </w:rPr>
        <w:t>g legal authority (if any)</w:t>
      </w:r>
      <w:r w:rsidR="00A32012">
        <w:rPr>
          <w:spacing w:val="-5"/>
        </w:rPr>
        <w:t>;</w:t>
      </w:r>
    </w:p>
    <w:p w:rsidR="00835E95" w:rsidRPr="004D3909" w:rsidRDefault="00835E95" w:rsidP="00666FAC">
      <w:pPr>
        <w:pStyle w:val="ListParagraph"/>
        <w:autoSpaceDE w:val="0"/>
        <w:autoSpaceDN w:val="0"/>
        <w:adjustRightInd w:val="0"/>
        <w:ind w:left="1080"/>
        <w:rPr>
          <w:spacing w:val="-5"/>
        </w:rPr>
      </w:pPr>
    </w:p>
    <w:p w:rsidR="00EA4720" w:rsidRDefault="00EA4720" w:rsidP="00666FAC">
      <w:pPr>
        <w:pStyle w:val="ListParagraph"/>
        <w:numPr>
          <w:ilvl w:val="0"/>
          <w:numId w:val="6"/>
        </w:numPr>
        <w:autoSpaceDE w:val="0"/>
        <w:autoSpaceDN w:val="0"/>
        <w:adjustRightInd w:val="0"/>
        <w:rPr>
          <w:spacing w:val="-5"/>
        </w:rPr>
      </w:pPr>
      <w:proofErr w:type="gramStart"/>
      <w:r w:rsidRPr="00666FAC">
        <w:rPr>
          <w:b/>
          <w:spacing w:val="-5"/>
        </w:rPr>
        <w:t>a</w:t>
      </w:r>
      <w:proofErr w:type="gramEnd"/>
      <w:r w:rsidRPr="00666FAC">
        <w:rPr>
          <w:b/>
          <w:spacing w:val="-5"/>
        </w:rPr>
        <w:t xml:space="preserve"> proposed verdict form</w:t>
      </w:r>
      <w:r w:rsidRPr="00EA4720">
        <w:rPr>
          <w:spacing w:val="-5"/>
        </w:rPr>
        <w:t>, as well as proposed special interrogatories (if any), that includes a date and signature line for the jury foreperson.</w:t>
      </w:r>
    </w:p>
    <w:p w:rsidR="00EA4720" w:rsidRDefault="00EA4720" w:rsidP="00666FAC">
      <w:pPr>
        <w:pStyle w:val="ListParagraph"/>
        <w:autoSpaceDE w:val="0"/>
        <w:autoSpaceDN w:val="0"/>
        <w:adjustRightInd w:val="0"/>
        <w:ind w:left="1080"/>
        <w:rPr>
          <w:spacing w:val="-5"/>
        </w:rPr>
      </w:pPr>
    </w:p>
    <w:p w:rsidR="00FD1278" w:rsidRPr="00FD1278" w:rsidRDefault="00FD1278" w:rsidP="005250E7">
      <w:pPr>
        <w:autoSpaceDE w:val="0"/>
        <w:autoSpaceDN w:val="0"/>
        <w:adjustRightInd w:val="0"/>
        <w:ind w:left="720"/>
        <w:rPr>
          <w:spacing w:val="-5"/>
        </w:rPr>
      </w:pPr>
      <w:r>
        <w:rPr>
          <w:spacing w:val="-5"/>
        </w:rPr>
        <w:t xml:space="preserve">Any objections shall be listed immediately following the </w:t>
      </w:r>
      <w:proofErr w:type="spellStart"/>
      <w:r>
        <w:rPr>
          <w:spacing w:val="-5"/>
        </w:rPr>
        <w:t>voir</w:t>
      </w:r>
      <w:proofErr w:type="spellEnd"/>
      <w:r>
        <w:rPr>
          <w:spacing w:val="-5"/>
        </w:rPr>
        <w:t xml:space="preserve"> dire question, jury instruction</w:t>
      </w:r>
      <w:r w:rsidR="003B02DD">
        <w:rPr>
          <w:spacing w:val="-5"/>
        </w:rPr>
        <w:t>,</w:t>
      </w:r>
      <w:r>
        <w:rPr>
          <w:spacing w:val="-5"/>
        </w:rPr>
        <w:t xml:space="preserve"> or verdict question.  The objecting party shall specifically identify the objectionable portion of the </w:t>
      </w:r>
      <w:proofErr w:type="spellStart"/>
      <w:r>
        <w:rPr>
          <w:spacing w:val="-5"/>
        </w:rPr>
        <w:t>v</w:t>
      </w:r>
      <w:r w:rsidR="004460D5">
        <w:rPr>
          <w:spacing w:val="-5"/>
        </w:rPr>
        <w:t>o</w:t>
      </w:r>
      <w:r>
        <w:rPr>
          <w:spacing w:val="-5"/>
        </w:rPr>
        <w:t>ir</w:t>
      </w:r>
      <w:proofErr w:type="spellEnd"/>
      <w:r>
        <w:rPr>
          <w:spacing w:val="-5"/>
        </w:rPr>
        <w:t xml:space="preserve"> dire question, instruction</w:t>
      </w:r>
      <w:r w:rsidR="003B02DD">
        <w:rPr>
          <w:spacing w:val="-5"/>
        </w:rPr>
        <w:t>,</w:t>
      </w:r>
      <w:r>
        <w:rPr>
          <w:spacing w:val="-5"/>
        </w:rPr>
        <w:t xml:space="preserve"> or verdict form, along with the basis of the objection</w:t>
      </w:r>
      <w:r w:rsidR="006C060A">
        <w:rPr>
          <w:spacing w:val="-5"/>
        </w:rPr>
        <w:t xml:space="preserve"> and citations to supporting legal authority.  Any objections to the verdict form shall be accompanied by a proposed alternative form. </w:t>
      </w:r>
      <w:r>
        <w:rPr>
          <w:spacing w:val="-5"/>
        </w:rPr>
        <w:t xml:space="preserve"> </w:t>
      </w:r>
    </w:p>
    <w:p w:rsidR="00BC0B9F" w:rsidRPr="00BC0B9F" w:rsidRDefault="00BC0B9F" w:rsidP="00666FAC">
      <w:pPr>
        <w:pStyle w:val="ListParagraph"/>
        <w:ind w:left="1080"/>
        <w:rPr>
          <w:b/>
          <w:u w:val="single"/>
        </w:rPr>
      </w:pPr>
    </w:p>
    <w:p w:rsidR="009C5494" w:rsidRPr="009C5494" w:rsidRDefault="009C5494" w:rsidP="005250E7">
      <w:pPr>
        <w:pStyle w:val="ListParagraph"/>
        <w:numPr>
          <w:ilvl w:val="0"/>
          <w:numId w:val="1"/>
        </w:numPr>
        <w:autoSpaceDE w:val="0"/>
        <w:autoSpaceDN w:val="0"/>
        <w:adjustRightInd w:val="0"/>
        <w:ind w:left="720"/>
        <w:rPr>
          <w:spacing w:val="-5"/>
        </w:rPr>
      </w:pPr>
      <w:r w:rsidRPr="009C5494">
        <w:rPr>
          <w:b/>
          <w:spacing w:val="-5"/>
          <w:u w:val="single"/>
        </w:rPr>
        <w:t>Non-Jury Cases:</w:t>
      </w:r>
      <w:r w:rsidRPr="009C5494">
        <w:rPr>
          <w:spacing w:val="-5"/>
        </w:rPr>
        <w:t xml:space="preserve">  In non-jury cases, the parties must submit detailed proposed findings of fact and conclusions of law with supporting authorities.  </w:t>
      </w:r>
    </w:p>
    <w:p w:rsidR="00EA17E9" w:rsidRPr="005250E7" w:rsidRDefault="00EA17E9" w:rsidP="005250E7">
      <w:pPr>
        <w:keepNext/>
        <w:ind w:left="360"/>
        <w:rPr>
          <w:b/>
          <w:u w:val="single"/>
        </w:rPr>
      </w:pPr>
    </w:p>
    <w:p w:rsidR="00FD32CC" w:rsidRPr="005250E7" w:rsidRDefault="00FD32CC" w:rsidP="005250E7">
      <w:pPr>
        <w:pStyle w:val="ListParagraph"/>
        <w:keepNext/>
        <w:numPr>
          <w:ilvl w:val="0"/>
          <w:numId w:val="1"/>
        </w:numPr>
        <w:ind w:left="720"/>
        <w:rPr>
          <w:u w:val="single"/>
        </w:rPr>
      </w:pPr>
      <w:r w:rsidRPr="005250E7">
        <w:rPr>
          <w:b/>
          <w:u w:val="single"/>
        </w:rPr>
        <w:t>Special Matters</w:t>
      </w:r>
      <w:r w:rsidRPr="0092306A">
        <w:rPr>
          <w:b/>
        </w:rPr>
        <w:t>:</w:t>
      </w:r>
      <w:r w:rsidRPr="005250E7">
        <w:t xml:space="preserve">  The parties shall identify any special considerations for trial, such as accommodations </w:t>
      </w:r>
      <w:r w:rsidR="00711690">
        <w:t>for persons with disabilities</w:t>
      </w:r>
      <w:r w:rsidR="005250E7">
        <w:t xml:space="preserve">, or any other pertinent </w:t>
      </w:r>
      <w:r w:rsidRPr="005250E7">
        <w:t xml:space="preserve">matters about which the </w:t>
      </w:r>
      <w:r w:rsidR="00B4162D">
        <w:t>c</w:t>
      </w:r>
      <w:r w:rsidRPr="005250E7">
        <w:t xml:space="preserve">ourt should be aware. </w:t>
      </w:r>
    </w:p>
    <w:p w:rsidR="00FD32CC" w:rsidRPr="00FD32CC" w:rsidRDefault="00FD32CC" w:rsidP="005250E7">
      <w:pPr>
        <w:pStyle w:val="ListParagraph"/>
        <w:keepNext/>
      </w:pPr>
    </w:p>
    <w:p w:rsidR="0092306A" w:rsidRDefault="00061FC0" w:rsidP="005250E7">
      <w:pPr>
        <w:pStyle w:val="ListParagraph"/>
        <w:keepNext/>
        <w:numPr>
          <w:ilvl w:val="0"/>
          <w:numId w:val="1"/>
        </w:numPr>
        <w:ind w:left="720"/>
      </w:pPr>
      <w:r w:rsidRPr="00FD5B67">
        <w:rPr>
          <w:b/>
          <w:u w:val="single"/>
        </w:rPr>
        <w:t>Estimated Length of Trial</w:t>
      </w:r>
      <w:r w:rsidR="00262A25" w:rsidRPr="00FD5B67">
        <w:rPr>
          <w:b/>
        </w:rPr>
        <w:t>:</w:t>
      </w:r>
      <w:r w:rsidR="00262A25" w:rsidRPr="00FD5B67">
        <w:t xml:space="preserve">  List the number of days estimated for trial, and</w:t>
      </w:r>
      <w:r w:rsidR="004460D5">
        <w:t xml:space="preserve"> set forth</w:t>
      </w:r>
      <w:r w:rsidR="00262A25" w:rsidRPr="00FD5B67">
        <w:t xml:space="preserve"> any scheduling problems with witnesses.</w:t>
      </w:r>
    </w:p>
    <w:p w:rsidR="00061FC0" w:rsidRDefault="0092306A" w:rsidP="0092306A">
      <w:pPr>
        <w:spacing w:after="200" w:line="276" w:lineRule="auto"/>
      </w:pPr>
      <w:r>
        <w:br w:type="page"/>
      </w:r>
    </w:p>
    <w:p w:rsidR="005A2D4B" w:rsidRDefault="005A2D4B" w:rsidP="005A2D4B">
      <w:pPr>
        <w:pStyle w:val="ListParagraph"/>
      </w:pPr>
    </w:p>
    <w:p w:rsidR="005A2D4B" w:rsidRPr="005A2D4B" w:rsidRDefault="005A2D4B" w:rsidP="0092306A">
      <w:pPr>
        <w:pStyle w:val="ListParagraph"/>
        <w:keepNext/>
        <w:numPr>
          <w:ilvl w:val="0"/>
          <w:numId w:val="1"/>
        </w:numPr>
        <w:shd w:val="clear" w:color="auto" w:fill="FFFFFF" w:themeFill="background1"/>
        <w:ind w:left="720"/>
      </w:pPr>
      <w:r>
        <w:rPr>
          <w:b/>
          <w:u w:val="single"/>
        </w:rPr>
        <w:t>Cases Requiring an Interpreter</w:t>
      </w:r>
      <w:r>
        <w:rPr>
          <w:b/>
        </w:rPr>
        <w:t xml:space="preserve">: </w:t>
      </w:r>
    </w:p>
    <w:p w:rsidR="005A2D4B" w:rsidRDefault="005A2D4B" w:rsidP="0092306A">
      <w:pPr>
        <w:pStyle w:val="ListParagraph"/>
        <w:shd w:val="clear" w:color="auto" w:fill="FFFFFF" w:themeFill="background1"/>
      </w:pPr>
    </w:p>
    <w:p w:rsidR="00E6449D" w:rsidRDefault="005A2D4B" w:rsidP="0092306A">
      <w:pPr>
        <w:pStyle w:val="ListParagraph"/>
        <w:numPr>
          <w:ilvl w:val="0"/>
          <w:numId w:val="10"/>
        </w:numPr>
        <w:shd w:val="clear" w:color="auto" w:fill="FFFFFF" w:themeFill="background1"/>
      </w:pPr>
      <w:r>
        <w:t>Each party shall identify the names of its proposed interpreters and confirm that eac</w:t>
      </w:r>
      <w:r w:rsidR="00884CD7">
        <w:t>h is an experienced interpreter with appropriate credentials.</w:t>
      </w:r>
      <w:r>
        <w:t xml:space="preserve"> </w:t>
      </w:r>
    </w:p>
    <w:p w:rsidR="00A64597" w:rsidRDefault="00A64597" w:rsidP="0092306A">
      <w:pPr>
        <w:pStyle w:val="ListParagraph"/>
        <w:shd w:val="clear" w:color="auto" w:fill="FFFFFF" w:themeFill="background1"/>
        <w:ind w:left="1080"/>
      </w:pPr>
    </w:p>
    <w:p w:rsidR="00082F3A" w:rsidRDefault="005A2D4B" w:rsidP="0092306A">
      <w:pPr>
        <w:pStyle w:val="ListParagraph"/>
        <w:numPr>
          <w:ilvl w:val="0"/>
          <w:numId w:val="10"/>
        </w:numPr>
        <w:shd w:val="clear" w:color="auto" w:fill="FFFFFF" w:themeFill="background1"/>
      </w:pPr>
      <w:r>
        <w:t>The parties shall attach the C.</w:t>
      </w:r>
      <w:r w:rsidR="00082F3A">
        <w:t>V. of each proposed interpreter, along with a certification that each proposed interpreter has read and is familiar with the following documents:</w:t>
      </w:r>
    </w:p>
    <w:p w:rsidR="00082F3A" w:rsidRDefault="00082F3A" w:rsidP="0092306A">
      <w:pPr>
        <w:pStyle w:val="ListParagraph"/>
        <w:shd w:val="clear" w:color="auto" w:fill="FFFFFF" w:themeFill="background1"/>
        <w:ind w:left="1080"/>
      </w:pPr>
    </w:p>
    <w:p w:rsidR="00082F3A" w:rsidRPr="003B02DD" w:rsidRDefault="00082F3A" w:rsidP="00BF62BD">
      <w:pPr>
        <w:pStyle w:val="ListParagraph"/>
        <w:numPr>
          <w:ilvl w:val="1"/>
          <w:numId w:val="6"/>
        </w:numPr>
        <w:autoSpaceDE w:val="0"/>
        <w:autoSpaceDN w:val="0"/>
        <w:adjustRightInd w:val="0"/>
      </w:pPr>
      <w:r w:rsidRPr="00BF62BD">
        <w:rPr>
          <w:spacing w:val="-5"/>
        </w:rPr>
        <w:t>The General Guidelines for Court Interpreters, United States District Court for</w:t>
      </w:r>
      <w:r w:rsidR="003B02DD">
        <w:rPr>
          <w:spacing w:val="-5"/>
        </w:rPr>
        <w:t xml:space="preserve"> </w:t>
      </w:r>
      <w:r w:rsidRPr="00BF62BD">
        <w:rPr>
          <w:spacing w:val="-5"/>
        </w:rPr>
        <w:t xml:space="preserve">the District of Columbia, Office of Interpreting Services; </w:t>
      </w:r>
    </w:p>
    <w:p w:rsidR="00082F3A" w:rsidRPr="00BF62BD" w:rsidRDefault="00082F3A" w:rsidP="00BF62BD">
      <w:pPr>
        <w:pStyle w:val="ListParagraph"/>
        <w:numPr>
          <w:ilvl w:val="1"/>
          <w:numId w:val="6"/>
        </w:numPr>
        <w:autoSpaceDE w:val="0"/>
        <w:autoSpaceDN w:val="0"/>
        <w:adjustRightInd w:val="0"/>
        <w:rPr>
          <w:spacing w:val="-5"/>
        </w:rPr>
      </w:pPr>
      <w:r w:rsidRPr="00BF62BD">
        <w:rPr>
          <w:spacing w:val="-5"/>
        </w:rPr>
        <w:t>The Code of Ethics and Professional Responsibilities, National Association of</w:t>
      </w:r>
      <w:r w:rsidR="003B02DD">
        <w:rPr>
          <w:spacing w:val="-5"/>
        </w:rPr>
        <w:t xml:space="preserve"> </w:t>
      </w:r>
      <w:r w:rsidRPr="00BF62BD">
        <w:rPr>
          <w:spacing w:val="-5"/>
        </w:rPr>
        <w:t>Judiciary Interpreters and Translators; and</w:t>
      </w:r>
    </w:p>
    <w:p w:rsidR="00082F3A" w:rsidRPr="00BF62BD" w:rsidRDefault="00082F3A" w:rsidP="00BF62BD">
      <w:pPr>
        <w:pStyle w:val="ListParagraph"/>
        <w:numPr>
          <w:ilvl w:val="1"/>
          <w:numId w:val="6"/>
        </w:numPr>
        <w:autoSpaceDE w:val="0"/>
        <w:autoSpaceDN w:val="0"/>
        <w:adjustRightInd w:val="0"/>
        <w:rPr>
          <w:spacing w:val="-5"/>
        </w:rPr>
      </w:pPr>
      <w:r w:rsidRPr="00BF62BD">
        <w:rPr>
          <w:spacing w:val="-5"/>
        </w:rPr>
        <w:t>The Draft Code of Professional Responsibility and Court Interpreter Protocol,</w:t>
      </w:r>
      <w:r w:rsidR="003B02DD">
        <w:rPr>
          <w:spacing w:val="-5"/>
        </w:rPr>
        <w:t xml:space="preserve"> </w:t>
      </w:r>
      <w:r w:rsidRPr="00BF62BD">
        <w:rPr>
          <w:spacing w:val="-5"/>
        </w:rPr>
        <w:t>Administrative Office of the United States Courts.</w:t>
      </w:r>
    </w:p>
    <w:p w:rsidR="00082F3A" w:rsidRDefault="00082F3A" w:rsidP="0092306A">
      <w:pPr>
        <w:pStyle w:val="ListParagraph"/>
        <w:shd w:val="clear" w:color="auto" w:fill="FFFFFF" w:themeFill="background1"/>
        <w:ind w:left="1800"/>
      </w:pPr>
    </w:p>
    <w:p w:rsidR="00E6449D" w:rsidRDefault="005A2D4B" w:rsidP="0092306A">
      <w:pPr>
        <w:pStyle w:val="ListParagraph"/>
        <w:numPr>
          <w:ilvl w:val="0"/>
          <w:numId w:val="10"/>
        </w:numPr>
        <w:shd w:val="clear" w:color="auto" w:fill="FFFFFF" w:themeFill="background1"/>
      </w:pPr>
      <w:r>
        <w:t xml:space="preserve">If interpretation services will be required for more than two </w:t>
      </w:r>
      <w:r w:rsidR="00913D36">
        <w:t xml:space="preserve">continuous </w:t>
      </w:r>
      <w:r>
        <w:t xml:space="preserve">hours, the parties shall confirm that they have retained multiple interpreters for each language who will share the interpreter responsibilities. </w:t>
      </w:r>
    </w:p>
    <w:p w:rsidR="00E6449D" w:rsidRDefault="00E6449D" w:rsidP="0092306A">
      <w:pPr>
        <w:pStyle w:val="ListParagraph"/>
        <w:shd w:val="clear" w:color="auto" w:fill="FFFFFF" w:themeFill="background1"/>
      </w:pPr>
    </w:p>
    <w:p w:rsidR="00E6449D" w:rsidRDefault="00E6449D" w:rsidP="0092306A">
      <w:pPr>
        <w:pStyle w:val="ListParagraph"/>
        <w:numPr>
          <w:ilvl w:val="0"/>
          <w:numId w:val="10"/>
        </w:numPr>
        <w:shd w:val="clear" w:color="auto" w:fill="FFFFFF" w:themeFill="background1"/>
      </w:pPr>
      <w:r>
        <w:t>The parties shall confirm that each interpreter will make themselves available at a mutually agreeable time and date in advance of the trial f</w:t>
      </w:r>
      <w:r w:rsidR="00627F03">
        <w:t>or training in use of the court’</w:t>
      </w:r>
      <w:r>
        <w:t xml:space="preserve">s interpreting equipment. </w:t>
      </w:r>
    </w:p>
    <w:p w:rsidR="00E6449D" w:rsidRDefault="00E6449D" w:rsidP="0092306A">
      <w:pPr>
        <w:pStyle w:val="ListParagraph"/>
        <w:shd w:val="clear" w:color="auto" w:fill="FFFFFF" w:themeFill="background1"/>
      </w:pPr>
    </w:p>
    <w:p w:rsidR="00E6449D" w:rsidRDefault="005A2D4B" w:rsidP="0092306A">
      <w:pPr>
        <w:pStyle w:val="ListParagraph"/>
        <w:numPr>
          <w:ilvl w:val="0"/>
          <w:numId w:val="10"/>
        </w:numPr>
        <w:shd w:val="clear" w:color="auto" w:fill="FFFFFF" w:themeFill="background1"/>
      </w:pPr>
      <w:r>
        <w:t xml:space="preserve">The parties shall </w:t>
      </w:r>
      <w:r w:rsidR="00E6449D">
        <w:t>i</w:t>
      </w:r>
      <w:r>
        <w:t xml:space="preserve">nclude any proposed jury instructions related to the use of interpreters.  </w:t>
      </w:r>
    </w:p>
    <w:p w:rsidR="00E6449D" w:rsidRDefault="00E6449D" w:rsidP="0092306A">
      <w:pPr>
        <w:pStyle w:val="ListParagraph"/>
        <w:shd w:val="clear" w:color="auto" w:fill="FFFFFF" w:themeFill="background1"/>
      </w:pPr>
    </w:p>
    <w:p w:rsidR="005A2D4B" w:rsidRDefault="005A2D4B" w:rsidP="0092306A">
      <w:pPr>
        <w:shd w:val="clear" w:color="auto" w:fill="FFFFFF" w:themeFill="background1"/>
        <w:ind w:left="360"/>
      </w:pPr>
      <w:r>
        <w:t xml:space="preserve">For assistance in locating suitable interpreters, </w:t>
      </w:r>
      <w:r w:rsidR="00637298">
        <w:t xml:space="preserve">the parties </w:t>
      </w:r>
      <w:r>
        <w:t xml:space="preserve">may contact the court's Director of Interpreting Services, </w:t>
      </w:r>
      <w:r w:rsidRPr="00637298">
        <w:rPr>
          <w:highlight w:val="yellow"/>
        </w:rPr>
        <w:t>Teresa Salazar at (202) 354-3016.</w:t>
      </w:r>
    </w:p>
    <w:p w:rsidR="005A2D4B" w:rsidRDefault="005A2D4B" w:rsidP="005A2D4B"/>
    <w:p w:rsidR="00F606C2" w:rsidRDefault="00F606C2" w:rsidP="00B74245">
      <w:pPr>
        <w:pStyle w:val="ListParagraph"/>
        <w:ind w:left="1440"/>
      </w:pPr>
    </w:p>
    <w:p w:rsidR="00F606C2" w:rsidRPr="00F606C2" w:rsidRDefault="00F606C2" w:rsidP="005250E7">
      <w:pPr>
        <w:pStyle w:val="ListParagraph"/>
        <w:keepNext/>
        <w:numPr>
          <w:ilvl w:val="0"/>
          <w:numId w:val="8"/>
        </w:numPr>
        <w:rPr>
          <w:b/>
        </w:rPr>
      </w:pPr>
      <w:r>
        <w:rPr>
          <w:b/>
          <w:u w:val="single"/>
        </w:rPr>
        <w:t xml:space="preserve">MOTIONS </w:t>
      </w:r>
      <w:r w:rsidRPr="002762FF">
        <w:rPr>
          <w:b/>
          <w:i/>
          <w:u w:val="single"/>
        </w:rPr>
        <w:t>IN LIMINE</w:t>
      </w:r>
      <w:r w:rsidRPr="00F606C2">
        <w:rPr>
          <w:b/>
        </w:rPr>
        <w:t>:</w:t>
      </w:r>
      <w:r w:rsidRPr="00FD5B67">
        <w:t xml:space="preserve">  </w:t>
      </w:r>
    </w:p>
    <w:p w:rsidR="00F606C2" w:rsidRDefault="00F606C2" w:rsidP="00F606C2">
      <w:pPr>
        <w:pStyle w:val="ListParagraph"/>
        <w:keepNext/>
        <w:ind w:left="360"/>
        <w:rPr>
          <w:b/>
          <w:u w:val="single"/>
        </w:rPr>
      </w:pPr>
    </w:p>
    <w:p w:rsidR="006F716D" w:rsidRPr="00077956" w:rsidRDefault="006F716D" w:rsidP="00F606C2">
      <w:pPr>
        <w:keepNext/>
        <w:ind w:left="4320"/>
        <w:rPr>
          <w:b/>
          <w:u w:val="single"/>
        </w:rPr>
      </w:pPr>
    </w:p>
    <w:p w:rsidR="00F606C2" w:rsidRDefault="00105C18" w:rsidP="00EC6C0D">
      <w:pPr>
        <w:autoSpaceDE w:val="0"/>
        <w:autoSpaceDN w:val="0"/>
        <w:adjustRightInd w:val="0"/>
        <w:ind w:firstLine="360"/>
      </w:pPr>
      <w:r w:rsidRPr="00105C18">
        <w:rPr>
          <w:shd w:val="clear" w:color="auto" w:fill="FFFFFF" w:themeFill="background1"/>
        </w:rPr>
        <w:t xml:space="preserve">All evidence that a party </w:t>
      </w:r>
      <w:r w:rsidR="005E31BD">
        <w:rPr>
          <w:shd w:val="clear" w:color="auto" w:fill="FFFFFF" w:themeFill="background1"/>
        </w:rPr>
        <w:t>plans to offer</w:t>
      </w:r>
      <w:r w:rsidRPr="00105C18">
        <w:rPr>
          <w:shd w:val="clear" w:color="auto" w:fill="FFFFFF" w:themeFill="background1"/>
        </w:rPr>
        <w:t xml:space="preserve"> at trial under Fed. R. </w:t>
      </w:r>
      <w:proofErr w:type="spellStart"/>
      <w:r w:rsidRPr="00105C18">
        <w:rPr>
          <w:shd w:val="clear" w:color="auto" w:fill="FFFFFF" w:themeFill="background1"/>
        </w:rPr>
        <w:t>Evid</w:t>
      </w:r>
      <w:proofErr w:type="spellEnd"/>
      <w:r w:rsidRPr="00105C18">
        <w:rPr>
          <w:shd w:val="clear" w:color="auto" w:fill="FFFFFF" w:themeFill="background1"/>
        </w:rPr>
        <w:t xml:space="preserve">. 404(b) must be disclosed to all other </w:t>
      </w:r>
      <w:r w:rsidRPr="005B303C">
        <w:t xml:space="preserve">parties by no later than </w:t>
      </w:r>
      <w:r w:rsidR="008E00DA" w:rsidRPr="008E00DA">
        <w:rPr>
          <w:b/>
          <w:highlight w:val="yellow"/>
        </w:rPr>
        <w:t>[Date</w:t>
      </w:r>
      <w:r w:rsidR="008E00DA">
        <w:rPr>
          <w:b/>
        </w:rPr>
        <w:t>]</w:t>
      </w:r>
      <w:r w:rsidRPr="005B303C">
        <w:t xml:space="preserve">.  Motions </w:t>
      </w:r>
      <w:r w:rsidRPr="002762FF">
        <w:rPr>
          <w:i/>
        </w:rPr>
        <w:t xml:space="preserve">in </w:t>
      </w:r>
      <w:proofErr w:type="spellStart"/>
      <w:r w:rsidRPr="002762FF">
        <w:rPr>
          <w:i/>
        </w:rPr>
        <w:t>limine</w:t>
      </w:r>
      <w:proofErr w:type="spellEnd"/>
      <w:r w:rsidRPr="005B303C">
        <w:t xml:space="preserve"> should be fully brief</w:t>
      </w:r>
      <w:r w:rsidR="002A6FCE" w:rsidRPr="005B303C">
        <w:t>ed</w:t>
      </w:r>
      <w:r w:rsidRPr="005B303C">
        <w:t xml:space="preserve"> at the time of filing of the parties’ Joint Pretrial Statement.  Accordingly, o</w:t>
      </w:r>
      <w:r w:rsidR="00F606C2" w:rsidRPr="005B303C">
        <w:t xml:space="preserve">ne omnibus motion per side of not more than twenty (20) pages raising all issues </w:t>
      </w:r>
      <w:r w:rsidR="00F606C2" w:rsidRPr="005B303C">
        <w:rPr>
          <w:i/>
          <w:iCs/>
        </w:rPr>
        <w:t xml:space="preserve">in </w:t>
      </w:r>
      <w:proofErr w:type="spellStart"/>
      <w:r w:rsidR="00F606C2" w:rsidRPr="005B303C">
        <w:rPr>
          <w:i/>
          <w:iCs/>
        </w:rPr>
        <w:t>limine</w:t>
      </w:r>
      <w:proofErr w:type="spellEnd"/>
      <w:r w:rsidR="00F606C2" w:rsidRPr="005B303C">
        <w:t xml:space="preserve"> shall be filed with the </w:t>
      </w:r>
      <w:r w:rsidR="00B4162D" w:rsidRPr="005B303C">
        <w:t>c</w:t>
      </w:r>
      <w:r w:rsidR="00F606C2" w:rsidRPr="005B303C">
        <w:t xml:space="preserve">ourt and served on opposing counsel no later than </w:t>
      </w:r>
      <w:r w:rsidR="008E00DA" w:rsidRPr="008E00DA">
        <w:rPr>
          <w:b/>
          <w:highlight w:val="yellow"/>
        </w:rPr>
        <w:t>[Date</w:t>
      </w:r>
      <w:r w:rsidR="008E00DA">
        <w:rPr>
          <w:b/>
        </w:rPr>
        <w:t>]</w:t>
      </w:r>
      <w:r w:rsidR="00F606C2" w:rsidRPr="005B303C">
        <w:t xml:space="preserve">; oppositions of not more than fifteen (15) pages shall be due not later than </w:t>
      </w:r>
      <w:r w:rsidR="008E00DA" w:rsidRPr="008E00DA">
        <w:rPr>
          <w:b/>
          <w:highlight w:val="yellow"/>
        </w:rPr>
        <w:t>[Date</w:t>
      </w:r>
      <w:r w:rsidR="008E00DA">
        <w:rPr>
          <w:b/>
        </w:rPr>
        <w:t>]</w:t>
      </w:r>
      <w:r w:rsidR="00F606C2" w:rsidRPr="005B303C">
        <w:t>.</w:t>
      </w:r>
      <w:r w:rsidR="00831445" w:rsidRPr="005B303C">
        <w:t xml:space="preserve">  A party may not file a reply without first requesting leave of the </w:t>
      </w:r>
      <w:r w:rsidR="00B4162D" w:rsidRPr="005B303C">
        <w:t>c</w:t>
      </w:r>
      <w:r w:rsidR="00831445" w:rsidRPr="005B303C">
        <w:t>ourt.</w:t>
      </w:r>
      <w:r w:rsidR="00F606C2" w:rsidRPr="005B303C">
        <w:t xml:space="preserve"> </w:t>
      </w:r>
    </w:p>
    <w:p w:rsidR="00F606C2" w:rsidRPr="00077956" w:rsidRDefault="00F606C2" w:rsidP="00915469">
      <w:pPr>
        <w:keepNext/>
        <w:ind w:left="360"/>
        <w:rPr>
          <w:b/>
        </w:rPr>
      </w:pPr>
    </w:p>
    <w:p w:rsidR="00F606C2" w:rsidRDefault="00F606C2" w:rsidP="00EC6C0D">
      <w:pPr>
        <w:keepNext/>
        <w:shd w:val="clear" w:color="auto" w:fill="FFFFFF" w:themeFill="background1"/>
        <w:ind w:firstLine="360"/>
      </w:pPr>
      <w:r>
        <w:t xml:space="preserve">Where a party fails to file a memorandum of points and authorities in opposition to a given motion, the </w:t>
      </w:r>
      <w:r w:rsidR="00B4162D">
        <w:t>c</w:t>
      </w:r>
      <w:r>
        <w:t xml:space="preserve">ourt </w:t>
      </w:r>
      <w:r w:rsidRPr="00460B71">
        <w:t>may treat the motion as conceded</w:t>
      </w:r>
      <w:r>
        <w:t xml:space="preserve">.  </w:t>
      </w:r>
      <w:r>
        <w:rPr>
          <w:i/>
        </w:rPr>
        <w:t>See</w:t>
      </w:r>
      <w:r>
        <w:t xml:space="preserve"> Local Civil Rule 7(b).  Similarly, where a party fails to respond to arguments in opposition papers, the </w:t>
      </w:r>
      <w:r w:rsidR="00B4162D">
        <w:t>c</w:t>
      </w:r>
      <w:r>
        <w:t xml:space="preserve">ourt may treat those specific </w:t>
      </w:r>
      <w:r>
        <w:lastRenderedPageBreak/>
        <w:t xml:space="preserve">arguments as conceded.  </w:t>
      </w:r>
      <w:r>
        <w:rPr>
          <w:i/>
        </w:rPr>
        <w:t>See</w:t>
      </w:r>
      <w:r>
        <w:t xml:space="preserve"> </w:t>
      </w:r>
      <w:proofErr w:type="spellStart"/>
      <w:r>
        <w:rPr>
          <w:i/>
        </w:rPr>
        <w:t>Phrasavang</w:t>
      </w:r>
      <w:proofErr w:type="spellEnd"/>
      <w:r>
        <w:rPr>
          <w:i/>
        </w:rPr>
        <w:t xml:space="preserve"> v. Deutsche Bank</w:t>
      </w:r>
      <w:r>
        <w:t>, 656 F. Supp. 2d 196, 201 (D.D.C. 2009)</w:t>
      </w:r>
      <w:r w:rsidR="005E31BD">
        <w:t xml:space="preserve"> (citation omitted)</w:t>
      </w:r>
      <w:r>
        <w:t xml:space="preserve">. </w:t>
      </w:r>
      <w:r w:rsidR="00831445">
        <w:t xml:space="preserve">  </w:t>
      </w:r>
    </w:p>
    <w:p w:rsidR="00F606C2" w:rsidRPr="00FD5B67" w:rsidRDefault="00F606C2" w:rsidP="00831445"/>
    <w:p w:rsidR="00581AAF" w:rsidRDefault="00581AAF" w:rsidP="00581AAF">
      <w:pPr>
        <w:pStyle w:val="Level1"/>
        <w:keepNext/>
        <w:keepLines/>
      </w:pPr>
    </w:p>
    <w:p w:rsidR="008E40AE" w:rsidRPr="00FD5B67" w:rsidRDefault="008E40AE" w:rsidP="008E40AE">
      <w:pPr>
        <w:spacing w:line="480" w:lineRule="auto"/>
        <w:rPr>
          <w:spacing w:val="10"/>
        </w:rPr>
      </w:pPr>
    </w:p>
    <w:p w:rsidR="008E40AE" w:rsidRPr="00FD5B67" w:rsidRDefault="008E40AE" w:rsidP="008E40AE">
      <w:pPr>
        <w:pStyle w:val="NoSpacing"/>
        <w:rPr>
          <w:rFonts w:ascii="Times New Roman" w:hAnsi="Times New Roman" w:cs="Times New Roman"/>
          <w:spacing w:val="10"/>
        </w:rPr>
      </w:pPr>
      <w:r w:rsidRPr="00FD5B67">
        <w:rPr>
          <w:rFonts w:ascii="Times New Roman" w:hAnsi="Times New Roman" w:cs="Times New Roman"/>
          <w:spacing w:val="10"/>
          <w:lang w:val="en-CA"/>
        </w:rPr>
        <w:fldChar w:fldCharType="begin"/>
      </w:r>
      <w:r w:rsidRPr="00FD5B67">
        <w:rPr>
          <w:rFonts w:ascii="Times New Roman" w:hAnsi="Times New Roman" w:cs="Times New Roman"/>
          <w:spacing w:val="10"/>
          <w:lang w:val="en-CA"/>
        </w:rPr>
        <w:instrText xml:space="preserve"> SEQ CHAPTER \h \r 1</w:instrText>
      </w:r>
      <w:r w:rsidRPr="00FD5B67">
        <w:rPr>
          <w:rFonts w:ascii="Times New Roman" w:hAnsi="Times New Roman" w:cs="Times New Roman"/>
          <w:spacing w:val="10"/>
          <w:lang w:val="en-CA"/>
        </w:rPr>
        <w:fldChar w:fldCharType="end"/>
      </w:r>
      <w:r w:rsidRPr="00FD5B67">
        <w:rPr>
          <w:rFonts w:ascii="Times New Roman" w:hAnsi="Times New Roman" w:cs="Times New Roman"/>
          <w:spacing w:val="10"/>
        </w:rPr>
        <w:t xml:space="preserve">Date:  </w:t>
      </w:r>
      <w:r w:rsidRPr="00FD5B67">
        <w:rPr>
          <w:rFonts w:ascii="Times New Roman" w:hAnsi="Times New Roman" w:cs="Times New Roman"/>
          <w:spacing w:val="10"/>
        </w:rPr>
        <w:fldChar w:fldCharType="begin"/>
      </w:r>
      <w:r w:rsidRPr="00FD5B67">
        <w:rPr>
          <w:rFonts w:ascii="Times New Roman" w:hAnsi="Times New Roman" w:cs="Times New Roman"/>
          <w:spacing w:val="10"/>
        </w:rPr>
        <w:instrText xml:space="preserve"> DATE \@ "MMMM d, yyyy" </w:instrText>
      </w:r>
      <w:r w:rsidRPr="00FD5B67">
        <w:rPr>
          <w:rFonts w:ascii="Times New Roman" w:hAnsi="Times New Roman" w:cs="Times New Roman"/>
          <w:spacing w:val="10"/>
        </w:rPr>
        <w:fldChar w:fldCharType="separate"/>
      </w:r>
      <w:r w:rsidR="00640075">
        <w:rPr>
          <w:rFonts w:ascii="Times New Roman" w:hAnsi="Times New Roman" w:cs="Times New Roman"/>
          <w:noProof/>
          <w:spacing w:val="10"/>
        </w:rPr>
        <w:t>November 15, 2017</w:t>
      </w:r>
      <w:r w:rsidRPr="00FD5B67">
        <w:rPr>
          <w:rFonts w:ascii="Times New Roman" w:hAnsi="Times New Roman" w:cs="Times New Roman"/>
          <w:spacing w:val="10"/>
        </w:rPr>
        <w:fldChar w:fldCharType="end"/>
      </w:r>
      <w:r w:rsidRPr="00FD5B67">
        <w:rPr>
          <w:rFonts w:ascii="Times New Roman" w:hAnsi="Times New Roman" w:cs="Times New Roman"/>
          <w:spacing w:val="10"/>
        </w:rPr>
        <w:tab/>
      </w:r>
      <w:r w:rsidRPr="00FD5B67">
        <w:rPr>
          <w:rFonts w:ascii="Times New Roman" w:hAnsi="Times New Roman" w:cs="Times New Roman"/>
          <w:spacing w:val="10"/>
        </w:rPr>
        <w:tab/>
      </w:r>
      <w:r w:rsidRPr="00FD5B67">
        <w:rPr>
          <w:rFonts w:ascii="Times New Roman" w:hAnsi="Times New Roman" w:cs="Times New Roman"/>
          <w:spacing w:val="10"/>
        </w:rPr>
        <w:tab/>
      </w:r>
    </w:p>
    <w:p w:rsidR="008E40AE" w:rsidRPr="00FD5B67" w:rsidRDefault="008E40AE" w:rsidP="008E40AE">
      <w:pPr>
        <w:pStyle w:val="NoSpacing"/>
        <w:rPr>
          <w:rFonts w:ascii="Times New Roman" w:hAnsi="Times New Roman" w:cs="Times New Roman"/>
          <w:spacing w:val="10"/>
        </w:rPr>
      </w:pPr>
    </w:p>
    <w:p w:rsidR="008E40AE" w:rsidRPr="00FD5B67" w:rsidRDefault="008E40AE" w:rsidP="008E40AE">
      <w:pPr>
        <w:pStyle w:val="NoSpacing"/>
        <w:ind w:left="3600" w:firstLine="720"/>
        <w:rPr>
          <w:rFonts w:ascii="Times New Roman" w:hAnsi="Times New Roman" w:cs="Times New Roman"/>
          <w:spacing w:val="10"/>
        </w:rPr>
      </w:pPr>
    </w:p>
    <w:p w:rsidR="007370EA" w:rsidRPr="00FD5B67" w:rsidRDefault="007370EA"/>
    <w:p w:rsidR="007370EA" w:rsidRPr="00FD5B67" w:rsidRDefault="007370EA"/>
    <w:p w:rsidR="007370EA" w:rsidRPr="00FD5B67" w:rsidRDefault="007370EA"/>
    <w:p w:rsidR="007370EA" w:rsidRPr="00FD5B67" w:rsidRDefault="007370EA"/>
    <w:p w:rsidR="007370EA" w:rsidRDefault="007370EA">
      <w:pPr>
        <w:rPr>
          <w:rFonts w:ascii="Courier New" w:hAnsi="Courier New" w:cs="Courier New"/>
        </w:rPr>
      </w:pPr>
    </w:p>
    <w:sectPr w:rsidR="007370E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B8" w:rsidRDefault="00EF4BB8" w:rsidP="00DD35C8">
      <w:r>
        <w:separator/>
      </w:r>
    </w:p>
  </w:endnote>
  <w:endnote w:type="continuationSeparator" w:id="0">
    <w:p w:rsidR="00EF4BB8" w:rsidRDefault="00EF4BB8" w:rsidP="00DD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762726"/>
      <w:docPartObj>
        <w:docPartGallery w:val="Page Numbers (Bottom of Page)"/>
        <w:docPartUnique/>
      </w:docPartObj>
    </w:sdtPr>
    <w:sdtEndPr/>
    <w:sdtContent>
      <w:sdt>
        <w:sdtPr>
          <w:id w:val="1728636285"/>
          <w:docPartObj>
            <w:docPartGallery w:val="Page Numbers (Top of Page)"/>
            <w:docPartUnique/>
          </w:docPartObj>
        </w:sdtPr>
        <w:sdtEndPr/>
        <w:sdtContent>
          <w:p w:rsidR="00581AAF" w:rsidRDefault="00581AAF">
            <w:pPr>
              <w:pStyle w:val="Footer"/>
              <w:jc w:val="center"/>
            </w:pPr>
            <w:r>
              <w:t xml:space="preserve">Page </w:t>
            </w:r>
            <w:r>
              <w:rPr>
                <w:b/>
                <w:bCs/>
              </w:rPr>
              <w:fldChar w:fldCharType="begin"/>
            </w:r>
            <w:r>
              <w:rPr>
                <w:b/>
                <w:bCs/>
              </w:rPr>
              <w:instrText xml:space="preserve"> PAGE </w:instrText>
            </w:r>
            <w:r>
              <w:rPr>
                <w:b/>
                <w:bCs/>
              </w:rPr>
              <w:fldChar w:fldCharType="separate"/>
            </w:r>
            <w:r w:rsidR="00640075">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640075">
              <w:rPr>
                <w:b/>
                <w:bCs/>
                <w:noProof/>
              </w:rPr>
              <w:t>7</w:t>
            </w:r>
            <w:r>
              <w:rPr>
                <w:b/>
                <w:bCs/>
              </w:rPr>
              <w:fldChar w:fldCharType="end"/>
            </w:r>
          </w:p>
        </w:sdtContent>
      </w:sdt>
    </w:sdtContent>
  </w:sdt>
  <w:p w:rsidR="00DD35C8" w:rsidRDefault="00DD3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B8" w:rsidRDefault="00EF4BB8" w:rsidP="00DD35C8">
      <w:r>
        <w:separator/>
      </w:r>
    </w:p>
  </w:footnote>
  <w:footnote w:type="continuationSeparator" w:id="0">
    <w:p w:rsidR="00EF4BB8" w:rsidRDefault="00EF4BB8" w:rsidP="00DD35C8">
      <w:r>
        <w:continuationSeparator/>
      </w:r>
    </w:p>
  </w:footnote>
  <w:footnote w:id="1">
    <w:p w:rsidR="008E40AE" w:rsidRDefault="008E40AE" w:rsidP="00BF62BD">
      <w:pPr>
        <w:pStyle w:val="FootnoteText"/>
        <w:rPr>
          <w:rFonts w:ascii="Times New Roman" w:hAnsi="Times New Roman" w:cs="Times New Roman"/>
          <w:sz w:val="24"/>
          <w:szCs w:val="24"/>
        </w:rPr>
      </w:pPr>
      <w:r w:rsidRPr="00BF62BD">
        <w:rPr>
          <w:rStyle w:val="FootnoteReference"/>
          <w:rFonts w:ascii="Times New Roman" w:hAnsi="Times New Roman" w:cs="Times New Roman"/>
          <w:sz w:val="24"/>
          <w:szCs w:val="24"/>
        </w:rPr>
        <w:footnoteRef/>
      </w:r>
      <w:r w:rsidRPr="00BF62BD">
        <w:rPr>
          <w:rFonts w:ascii="Times New Roman" w:hAnsi="Times New Roman" w:cs="Times New Roman"/>
          <w:sz w:val="24"/>
          <w:szCs w:val="24"/>
        </w:rPr>
        <w:t xml:space="preserve">  </w:t>
      </w:r>
      <w:r w:rsidR="00A46F64" w:rsidRPr="003B02DD">
        <w:rPr>
          <w:rFonts w:ascii="Times New Roman" w:hAnsi="Times New Roman" w:cs="Times New Roman"/>
          <w:sz w:val="24"/>
          <w:szCs w:val="24"/>
        </w:rPr>
        <w:t>Fai</w:t>
      </w:r>
      <w:r w:rsidR="00A46F64" w:rsidRPr="00C9310B">
        <w:rPr>
          <w:rFonts w:ascii="Times New Roman" w:hAnsi="Times New Roman" w:cs="Times New Roman"/>
          <w:sz w:val="24"/>
          <w:szCs w:val="24"/>
        </w:rPr>
        <w:t>lure to comply with</w:t>
      </w:r>
      <w:r w:rsidR="00A46F64" w:rsidRPr="00C9310B">
        <w:rPr>
          <w:rFonts w:ascii="Times New Roman" w:hAnsi="Times New Roman" w:cs="Times New Roman"/>
          <w:b/>
          <w:bCs/>
          <w:sz w:val="24"/>
          <w:szCs w:val="24"/>
        </w:rPr>
        <w:t xml:space="preserve"> </w:t>
      </w:r>
      <w:r w:rsidR="00A46F64" w:rsidRPr="00C9310B">
        <w:rPr>
          <w:rFonts w:ascii="Times New Roman" w:hAnsi="Times New Roman" w:cs="Times New Roman"/>
          <w:bCs/>
          <w:sz w:val="24"/>
          <w:szCs w:val="24"/>
        </w:rPr>
        <w:t xml:space="preserve">the requirements and deadlines established </w:t>
      </w:r>
      <w:r w:rsidR="00A46F64" w:rsidRPr="00C9310B">
        <w:rPr>
          <w:rFonts w:ascii="Times New Roman" w:hAnsi="Times New Roman" w:cs="Times New Roman"/>
          <w:sz w:val="24"/>
          <w:szCs w:val="24"/>
        </w:rPr>
        <w:t>in this Pretrial Order may result in sanctions including, but not limited to, fines payable to the Clerk of the Court, a court order strikin</w:t>
      </w:r>
      <w:r w:rsidR="00A46F64">
        <w:rPr>
          <w:rFonts w:ascii="Times New Roman" w:hAnsi="Times New Roman" w:cs="Times New Roman"/>
          <w:sz w:val="24"/>
          <w:szCs w:val="24"/>
        </w:rPr>
        <w:t>g untimely or non-compliant pre</w:t>
      </w:r>
      <w:r w:rsidR="00A46F64" w:rsidRPr="00C9310B">
        <w:rPr>
          <w:rFonts w:ascii="Times New Roman" w:hAnsi="Times New Roman" w:cs="Times New Roman"/>
          <w:sz w:val="24"/>
          <w:szCs w:val="24"/>
        </w:rPr>
        <w:t>trial submissions and pleadings, dismissal of claims/defenses</w:t>
      </w:r>
      <w:r w:rsidR="00A46F64">
        <w:rPr>
          <w:rFonts w:ascii="Times New Roman" w:hAnsi="Times New Roman" w:cs="Times New Roman"/>
          <w:sz w:val="24"/>
          <w:szCs w:val="24"/>
        </w:rPr>
        <w:t>,</w:t>
      </w:r>
      <w:r w:rsidR="00A46F64" w:rsidRPr="00C9310B">
        <w:rPr>
          <w:rFonts w:ascii="Times New Roman" w:hAnsi="Times New Roman" w:cs="Times New Roman"/>
          <w:sz w:val="24"/>
          <w:szCs w:val="24"/>
        </w:rPr>
        <w:t xml:space="preserve"> and/or public admonishment of counsel.  </w:t>
      </w:r>
      <w:r w:rsidR="00A46F64" w:rsidRPr="00C9310B">
        <w:rPr>
          <w:rFonts w:ascii="Times New Roman" w:hAnsi="Times New Roman" w:cs="Times New Roman"/>
          <w:i/>
          <w:iCs/>
          <w:sz w:val="24"/>
          <w:szCs w:val="24"/>
        </w:rPr>
        <w:t>See</w:t>
      </w:r>
      <w:r w:rsidR="00A46F64" w:rsidRPr="00C9310B">
        <w:rPr>
          <w:rFonts w:ascii="Times New Roman" w:hAnsi="Times New Roman" w:cs="Times New Roman"/>
          <w:sz w:val="24"/>
          <w:szCs w:val="24"/>
        </w:rPr>
        <w:t xml:space="preserve"> </w:t>
      </w:r>
      <w:r w:rsidR="00A46F64" w:rsidRPr="00CA6938">
        <w:rPr>
          <w:rFonts w:ascii="Times New Roman" w:hAnsi="Times New Roman" w:cs="Times New Roman"/>
          <w:sz w:val="24"/>
          <w:szCs w:val="24"/>
        </w:rPr>
        <w:t xml:space="preserve">Fed. R. Civ. P. </w:t>
      </w:r>
      <w:r w:rsidR="00A46F64" w:rsidRPr="00CC4B34">
        <w:rPr>
          <w:rFonts w:ascii="Times New Roman" w:hAnsi="Times New Roman" w:cs="Times New Roman"/>
          <w:sz w:val="24"/>
          <w:szCs w:val="24"/>
        </w:rPr>
        <w:t xml:space="preserve">16(f); </w:t>
      </w:r>
      <w:r w:rsidR="00A46F64" w:rsidRPr="00CA6938">
        <w:rPr>
          <w:rFonts w:ascii="Times New Roman" w:hAnsi="Times New Roman" w:cs="Times New Roman"/>
          <w:sz w:val="24"/>
          <w:szCs w:val="24"/>
        </w:rPr>
        <w:t>Fed. R. Civ. P.</w:t>
      </w:r>
      <w:r w:rsidR="00A46F64" w:rsidRPr="00C9310B">
        <w:rPr>
          <w:rFonts w:ascii="Times New Roman" w:hAnsi="Times New Roman" w:cs="Times New Roman"/>
          <w:sz w:val="24"/>
          <w:szCs w:val="24"/>
        </w:rPr>
        <w:t xml:space="preserve"> 37(b</w:t>
      </w:r>
      <w:proofErr w:type="gramStart"/>
      <w:r w:rsidR="00A46F64" w:rsidRPr="00C9310B">
        <w:rPr>
          <w:rFonts w:ascii="Times New Roman" w:hAnsi="Times New Roman" w:cs="Times New Roman"/>
          <w:sz w:val="24"/>
          <w:szCs w:val="24"/>
        </w:rPr>
        <w:t>)(</w:t>
      </w:r>
      <w:proofErr w:type="gramEnd"/>
      <w:r w:rsidR="00A46F64" w:rsidRPr="00C9310B">
        <w:rPr>
          <w:rFonts w:ascii="Times New Roman" w:hAnsi="Times New Roman" w:cs="Times New Roman"/>
          <w:sz w:val="24"/>
          <w:szCs w:val="24"/>
        </w:rPr>
        <w:t>2)(A)(ii)</w:t>
      </w:r>
      <w:r w:rsidR="005C579F">
        <w:rPr>
          <w:rFonts w:ascii="Times New Roman" w:hAnsi="Times New Roman" w:cs="Times New Roman"/>
          <w:sz w:val="24"/>
        </w:rPr>
        <w:t>–</w:t>
      </w:r>
      <w:r w:rsidR="00A46F64" w:rsidRPr="00C9310B">
        <w:rPr>
          <w:rFonts w:ascii="Times New Roman" w:hAnsi="Times New Roman" w:cs="Times New Roman"/>
          <w:sz w:val="24"/>
          <w:szCs w:val="24"/>
        </w:rPr>
        <w:t xml:space="preserve">(vii); Gregory P. Joseph, </w:t>
      </w:r>
      <w:r w:rsidR="00A46F64" w:rsidRPr="00C9310B">
        <w:rPr>
          <w:rFonts w:ascii="Times New Roman" w:hAnsi="Times New Roman" w:cs="Times New Roman"/>
          <w:i/>
          <w:iCs/>
          <w:sz w:val="24"/>
          <w:szCs w:val="24"/>
        </w:rPr>
        <w:t>Sanctions: The Federal Law of Litigation Abuse</w:t>
      </w:r>
      <w:r w:rsidR="00A46F64" w:rsidRPr="00C9310B">
        <w:rPr>
          <w:rFonts w:ascii="Times New Roman" w:hAnsi="Times New Roman" w:cs="Times New Roman"/>
          <w:sz w:val="24"/>
          <w:szCs w:val="24"/>
        </w:rPr>
        <w:t xml:space="preserve"> </w:t>
      </w:r>
      <w:r w:rsidR="00A46F64">
        <w:rPr>
          <w:rFonts w:ascii="Times New Roman" w:hAnsi="Times New Roman" w:cs="Times New Roman"/>
          <w:sz w:val="24"/>
          <w:szCs w:val="24"/>
        </w:rPr>
        <w:t xml:space="preserve">598 </w:t>
      </w:r>
      <w:r w:rsidR="00A46F64" w:rsidRPr="00C9310B">
        <w:rPr>
          <w:rFonts w:ascii="Times New Roman" w:hAnsi="Times New Roman" w:cs="Times New Roman"/>
          <w:sz w:val="24"/>
          <w:szCs w:val="24"/>
        </w:rPr>
        <w:t>(</w:t>
      </w:r>
      <w:r w:rsidR="00A46F64">
        <w:rPr>
          <w:rFonts w:ascii="Times New Roman" w:hAnsi="Times New Roman" w:cs="Times New Roman"/>
          <w:sz w:val="24"/>
          <w:szCs w:val="24"/>
        </w:rPr>
        <w:t>5</w:t>
      </w:r>
      <w:r w:rsidR="00A46F64" w:rsidRPr="00C9310B">
        <w:rPr>
          <w:rFonts w:ascii="Times New Roman" w:hAnsi="Times New Roman" w:cs="Times New Roman"/>
          <w:sz w:val="24"/>
          <w:szCs w:val="24"/>
        </w:rPr>
        <w:t>th ed.</w:t>
      </w:r>
      <w:r w:rsidR="00A46F64">
        <w:rPr>
          <w:rFonts w:ascii="Times New Roman" w:hAnsi="Times New Roman" w:cs="Times New Roman"/>
          <w:sz w:val="24"/>
          <w:szCs w:val="24"/>
        </w:rPr>
        <w:t xml:space="preserve"> 2013</w:t>
      </w:r>
      <w:r w:rsidR="00A46F64" w:rsidRPr="00C9310B">
        <w:rPr>
          <w:rFonts w:ascii="Times New Roman" w:hAnsi="Times New Roman" w:cs="Times New Roman"/>
          <w:sz w:val="24"/>
          <w:szCs w:val="24"/>
        </w:rPr>
        <w:t xml:space="preserve">) (“The primary purpose </w:t>
      </w:r>
      <w:r w:rsidR="00A46F64">
        <w:rPr>
          <w:rFonts w:ascii="Times New Roman" w:hAnsi="Times New Roman" w:cs="Times New Roman"/>
          <w:sz w:val="24"/>
          <w:szCs w:val="24"/>
        </w:rPr>
        <w:t>for imposing</w:t>
      </w:r>
      <w:r w:rsidR="00A46F64" w:rsidRPr="00C9310B">
        <w:rPr>
          <w:rFonts w:ascii="Times New Roman" w:hAnsi="Times New Roman" w:cs="Times New Roman"/>
          <w:sz w:val="24"/>
          <w:szCs w:val="24"/>
        </w:rPr>
        <w:t xml:space="preserve"> Rule 16(f) </w:t>
      </w:r>
      <w:r w:rsidR="00A46F64">
        <w:rPr>
          <w:rFonts w:ascii="Times New Roman" w:hAnsi="Times New Roman" w:cs="Times New Roman"/>
          <w:sz w:val="24"/>
          <w:szCs w:val="24"/>
        </w:rPr>
        <w:t xml:space="preserve">sanctions </w:t>
      </w:r>
      <w:r w:rsidR="00A46F64" w:rsidRPr="00C9310B">
        <w:rPr>
          <w:rFonts w:ascii="Times New Roman" w:hAnsi="Times New Roman" w:cs="Times New Roman"/>
          <w:sz w:val="24"/>
          <w:szCs w:val="24"/>
        </w:rPr>
        <w:t xml:space="preserve">is deterrent: to insure expeditious and sound management of the preparation of cases for trial.  Secondarily, sanctions </w:t>
      </w:r>
      <w:r w:rsidR="00A46F64">
        <w:rPr>
          <w:rFonts w:ascii="Times New Roman" w:hAnsi="Times New Roman" w:cs="Times New Roman"/>
          <w:sz w:val="24"/>
          <w:szCs w:val="24"/>
        </w:rPr>
        <w:t>are awarded</w:t>
      </w:r>
      <w:r w:rsidR="00A46F64" w:rsidRPr="00C9310B">
        <w:rPr>
          <w:rFonts w:ascii="Times New Roman" w:hAnsi="Times New Roman" w:cs="Times New Roman"/>
          <w:sz w:val="24"/>
          <w:szCs w:val="24"/>
        </w:rPr>
        <w:t xml:space="preserve"> to compensate parties for inconvenience and expense </w:t>
      </w:r>
      <w:r w:rsidR="00A46F64">
        <w:rPr>
          <w:rFonts w:ascii="Times New Roman" w:hAnsi="Times New Roman" w:cs="Times New Roman"/>
          <w:sz w:val="24"/>
          <w:szCs w:val="24"/>
        </w:rPr>
        <w:t>incurred because of an opponent’s noncompliance.”).</w:t>
      </w:r>
    </w:p>
    <w:p w:rsidR="00A73621" w:rsidRPr="00C9310B" w:rsidRDefault="00A73621" w:rsidP="00BF62BD">
      <w:pPr>
        <w:pStyle w:val="FootnoteText"/>
        <w:rPr>
          <w:rFonts w:ascii="Times New Roman" w:hAnsi="Times New Roman" w:cs="Times New Roman"/>
        </w:rPr>
      </w:pPr>
    </w:p>
  </w:footnote>
  <w:footnote w:id="2">
    <w:p w:rsidR="00FA4B4E" w:rsidRPr="004E5559" w:rsidRDefault="00FA4B4E" w:rsidP="004E5559">
      <w:pPr>
        <w:rPr>
          <w:b/>
        </w:rPr>
      </w:pPr>
      <w:r w:rsidRPr="004E5559">
        <w:rPr>
          <w:rStyle w:val="FootnoteReference"/>
        </w:rPr>
        <w:footnoteRef/>
      </w:r>
      <w:r w:rsidRPr="004E5559">
        <w:t xml:space="preserve"> </w:t>
      </w:r>
      <w:r w:rsidRPr="004E5559">
        <w:rPr>
          <w:b/>
        </w:rPr>
        <w:t>If the parties have no statement or submission concerning any one of the items required in Section A (e.g.</w:t>
      </w:r>
      <w:r w:rsidR="004E5559">
        <w:rPr>
          <w:b/>
        </w:rPr>
        <w:t>,</w:t>
      </w:r>
      <w:r w:rsidRPr="004E5559">
        <w:rPr>
          <w:b/>
        </w:rPr>
        <w:t xml:space="preserve"> if the parties have not stipulated to any facts), the Joint Pretrial Statement shall so indicate.  </w:t>
      </w:r>
    </w:p>
    <w:p w:rsidR="00FA4B4E" w:rsidRDefault="00FA4B4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0426"/>
    <w:multiLevelType w:val="hybridMultilevel"/>
    <w:tmpl w:val="A2AE6C4C"/>
    <w:lvl w:ilvl="0" w:tplc="74FA0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C4D57"/>
    <w:multiLevelType w:val="multilevel"/>
    <w:tmpl w:val="765E8260"/>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9C263C4"/>
    <w:multiLevelType w:val="multilevel"/>
    <w:tmpl w:val="35823F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6555100"/>
    <w:multiLevelType w:val="hybridMultilevel"/>
    <w:tmpl w:val="E67E355A"/>
    <w:lvl w:ilvl="0" w:tplc="5B204C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5A7CE7"/>
    <w:multiLevelType w:val="hybridMultilevel"/>
    <w:tmpl w:val="EA3E06C0"/>
    <w:lvl w:ilvl="0" w:tplc="67E8AD0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872E26"/>
    <w:multiLevelType w:val="hybridMultilevel"/>
    <w:tmpl w:val="E0DE5592"/>
    <w:lvl w:ilvl="0" w:tplc="32101778">
      <w:start w:val="1"/>
      <w:numFmt w:val="low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474E64"/>
    <w:multiLevelType w:val="hybridMultilevel"/>
    <w:tmpl w:val="487E5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C7ABA"/>
    <w:multiLevelType w:val="hybridMultilevel"/>
    <w:tmpl w:val="01CE9A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D3D75"/>
    <w:multiLevelType w:val="hybridMultilevel"/>
    <w:tmpl w:val="0C72C1CA"/>
    <w:lvl w:ilvl="0" w:tplc="5670838C">
      <w:start w:val="1"/>
      <w:numFmt w:val="decimal"/>
      <w:lvlText w:val="%1."/>
      <w:lvlJc w:val="left"/>
      <w:pPr>
        <w:ind w:left="360" w:hanging="360"/>
      </w:pPr>
      <w:rPr>
        <w:b w:val="0"/>
      </w:rPr>
    </w:lvl>
    <w:lvl w:ilvl="1" w:tplc="C7A46E2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20739B"/>
    <w:multiLevelType w:val="hybridMultilevel"/>
    <w:tmpl w:val="F50679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0C56D3"/>
    <w:multiLevelType w:val="hybridMultilevel"/>
    <w:tmpl w:val="9710C824"/>
    <w:lvl w:ilvl="0" w:tplc="0742C8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57769F"/>
    <w:multiLevelType w:val="hybridMultilevel"/>
    <w:tmpl w:val="6DD893FC"/>
    <w:lvl w:ilvl="0" w:tplc="536A99C0">
      <w:start w:val="1"/>
      <w:numFmt w:val="decimal"/>
      <w:lvlText w:val="%1."/>
      <w:lvlJc w:val="left"/>
      <w:pPr>
        <w:tabs>
          <w:tab w:val="num" w:pos="720"/>
        </w:tabs>
        <w:ind w:left="720" w:hanging="360"/>
      </w:pPr>
      <w:rPr>
        <w:rFonts w:hint="default"/>
        <w:b/>
      </w:rPr>
    </w:lvl>
    <w:lvl w:ilvl="1" w:tplc="C29C8A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E01D8E"/>
    <w:multiLevelType w:val="hybridMultilevel"/>
    <w:tmpl w:val="E67E355A"/>
    <w:lvl w:ilvl="0" w:tplc="5B204C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3E2E67"/>
    <w:multiLevelType w:val="hybridMultilevel"/>
    <w:tmpl w:val="63701F1C"/>
    <w:lvl w:ilvl="0" w:tplc="3AC2AD8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DE3F87"/>
    <w:multiLevelType w:val="hybridMultilevel"/>
    <w:tmpl w:val="E67E355A"/>
    <w:lvl w:ilvl="0" w:tplc="5B204C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2"/>
  </w:num>
  <w:num w:numId="5">
    <w:abstractNumId w:val="8"/>
  </w:num>
  <w:num w:numId="6">
    <w:abstractNumId w:val="5"/>
  </w:num>
  <w:num w:numId="7">
    <w:abstractNumId w:val="6"/>
  </w:num>
  <w:num w:numId="8">
    <w:abstractNumId w:val="9"/>
  </w:num>
  <w:num w:numId="9">
    <w:abstractNumId w:val="11"/>
  </w:num>
  <w:num w:numId="10">
    <w:abstractNumId w:val="0"/>
  </w:num>
  <w:num w:numId="11">
    <w:abstractNumId w:val="10"/>
  </w:num>
  <w:num w:numId="12">
    <w:abstractNumId w:val="12"/>
  </w:num>
  <w:num w:numId="13">
    <w:abstractNumId w:val="13"/>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80"/>
    <w:rsid w:val="00005712"/>
    <w:rsid w:val="000259AC"/>
    <w:rsid w:val="000314D9"/>
    <w:rsid w:val="000409DA"/>
    <w:rsid w:val="00040FBD"/>
    <w:rsid w:val="00061FC0"/>
    <w:rsid w:val="00077956"/>
    <w:rsid w:val="00082F3A"/>
    <w:rsid w:val="000854CF"/>
    <w:rsid w:val="000A3882"/>
    <w:rsid w:val="000B2EBF"/>
    <w:rsid w:val="000E0306"/>
    <w:rsid w:val="000F1BB9"/>
    <w:rsid w:val="000F50F9"/>
    <w:rsid w:val="000F5A6A"/>
    <w:rsid w:val="00103FE0"/>
    <w:rsid w:val="00105C18"/>
    <w:rsid w:val="00113649"/>
    <w:rsid w:val="00121EFA"/>
    <w:rsid w:val="00151525"/>
    <w:rsid w:val="001758C9"/>
    <w:rsid w:val="0019593A"/>
    <w:rsid w:val="00195FF9"/>
    <w:rsid w:val="001A46E1"/>
    <w:rsid w:val="001C1605"/>
    <w:rsid w:val="001D62B2"/>
    <w:rsid w:val="001D6BFB"/>
    <w:rsid w:val="001F6280"/>
    <w:rsid w:val="00262A25"/>
    <w:rsid w:val="00262DD0"/>
    <w:rsid w:val="00264C1B"/>
    <w:rsid w:val="00275209"/>
    <w:rsid w:val="002758D2"/>
    <w:rsid w:val="002762FF"/>
    <w:rsid w:val="0028655C"/>
    <w:rsid w:val="00287E03"/>
    <w:rsid w:val="00293DE8"/>
    <w:rsid w:val="002972CE"/>
    <w:rsid w:val="002A6FCE"/>
    <w:rsid w:val="002B44D1"/>
    <w:rsid w:val="002E3534"/>
    <w:rsid w:val="002E5A0D"/>
    <w:rsid w:val="002E5A80"/>
    <w:rsid w:val="00302E7A"/>
    <w:rsid w:val="003057F4"/>
    <w:rsid w:val="003113EF"/>
    <w:rsid w:val="003207EC"/>
    <w:rsid w:val="003477F2"/>
    <w:rsid w:val="00350E94"/>
    <w:rsid w:val="00363944"/>
    <w:rsid w:val="003672F1"/>
    <w:rsid w:val="00374C2A"/>
    <w:rsid w:val="00383142"/>
    <w:rsid w:val="003B02DD"/>
    <w:rsid w:val="003B62AF"/>
    <w:rsid w:val="003B6881"/>
    <w:rsid w:val="003D64CD"/>
    <w:rsid w:val="00405BEA"/>
    <w:rsid w:val="00410C90"/>
    <w:rsid w:val="00423C98"/>
    <w:rsid w:val="00436EA3"/>
    <w:rsid w:val="004460D5"/>
    <w:rsid w:val="00460B71"/>
    <w:rsid w:val="004B048A"/>
    <w:rsid w:val="004B3EF5"/>
    <w:rsid w:val="004E3954"/>
    <w:rsid w:val="004E3B55"/>
    <w:rsid w:val="004E40E1"/>
    <w:rsid w:val="004E5559"/>
    <w:rsid w:val="005065DE"/>
    <w:rsid w:val="005250E7"/>
    <w:rsid w:val="00532D57"/>
    <w:rsid w:val="00533859"/>
    <w:rsid w:val="00544890"/>
    <w:rsid w:val="005448D1"/>
    <w:rsid w:val="00544ABE"/>
    <w:rsid w:val="00557F8D"/>
    <w:rsid w:val="00581AAF"/>
    <w:rsid w:val="00584D3A"/>
    <w:rsid w:val="00590F0A"/>
    <w:rsid w:val="0059723D"/>
    <w:rsid w:val="005A2D4B"/>
    <w:rsid w:val="005A63A2"/>
    <w:rsid w:val="005B303C"/>
    <w:rsid w:val="005C579F"/>
    <w:rsid w:val="005C7084"/>
    <w:rsid w:val="005D0EF9"/>
    <w:rsid w:val="005E31BD"/>
    <w:rsid w:val="005E6656"/>
    <w:rsid w:val="005F75A7"/>
    <w:rsid w:val="0060086B"/>
    <w:rsid w:val="00601FC2"/>
    <w:rsid w:val="006077BF"/>
    <w:rsid w:val="0062698F"/>
    <w:rsid w:val="00627F03"/>
    <w:rsid w:val="00637298"/>
    <w:rsid w:val="00640075"/>
    <w:rsid w:val="006427EE"/>
    <w:rsid w:val="00652916"/>
    <w:rsid w:val="00661E73"/>
    <w:rsid w:val="00666FAC"/>
    <w:rsid w:val="006C060A"/>
    <w:rsid w:val="006D325B"/>
    <w:rsid w:val="006F21D3"/>
    <w:rsid w:val="006F716D"/>
    <w:rsid w:val="0070246A"/>
    <w:rsid w:val="007029DC"/>
    <w:rsid w:val="00704BA4"/>
    <w:rsid w:val="00711690"/>
    <w:rsid w:val="0073189D"/>
    <w:rsid w:val="00731C95"/>
    <w:rsid w:val="007370EA"/>
    <w:rsid w:val="00750D12"/>
    <w:rsid w:val="00753B42"/>
    <w:rsid w:val="007B0B60"/>
    <w:rsid w:val="007B6EBD"/>
    <w:rsid w:val="007C12DB"/>
    <w:rsid w:val="007C4CBB"/>
    <w:rsid w:val="007D2310"/>
    <w:rsid w:val="007E24EC"/>
    <w:rsid w:val="007E5B0B"/>
    <w:rsid w:val="00820D11"/>
    <w:rsid w:val="00831445"/>
    <w:rsid w:val="008333A7"/>
    <w:rsid w:val="00833C08"/>
    <w:rsid w:val="00835E95"/>
    <w:rsid w:val="00841BFC"/>
    <w:rsid w:val="0086418B"/>
    <w:rsid w:val="00865D5C"/>
    <w:rsid w:val="00866773"/>
    <w:rsid w:val="0087334F"/>
    <w:rsid w:val="00874EB1"/>
    <w:rsid w:val="00884CD7"/>
    <w:rsid w:val="008964C8"/>
    <w:rsid w:val="00897669"/>
    <w:rsid w:val="008A4A2A"/>
    <w:rsid w:val="008A4E8E"/>
    <w:rsid w:val="008A78F5"/>
    <w:rsid w:val="008B01C8"/>
    <w:rsid w:val="008B117F"/>
    <w:rsid w:val="008B34F1"/>
    <w:rsid w:val="008D7AE9"/>
    <w:rsid w:val="008E00DA"/>
    <w:rsid w:val="008E40AE"/>
    <w:rsid w:val="008F1DC1"/>
    <w:rsid w:val="008F2E67"/>
    <w:rsid w:val="00902E16"/>
    <w:rsid w:val="00904B61"/>
    <w:rsid w:val="00913D36"/>
    <w:rsid w:val="00915469"/>
    <w:rsid w:val="00916A15"/>
    <w:rsid w:val="0091738B"/>
    <w:rsid w:val="0092306A"/>
    <w:rsid w:val="009375D2"/>
    <w:rsid w:val="00941615"/>
    <w:rsid w:val="0095134C"/>
    <w:rsid w:val="009533C8"/>
    <w:rsid w:val="00953FB9"/>
    <w:rsid w:val="00975DD7"/>
    <w:rsid w:val="00976FCF"/>
    <w:rsid w:val="009A1A12"/>
    <w:rsid w:val="009A516D"/>
    <w:rsid w:val="009B406A"/>
    <w:rsid w:val="009C5494"/>
    <w:rsid w:val="009C5744"/>
    <w:rsid w:val="009F3047"/>
    <w:rsid w:val="009F76DD"/>
    <w:rsid w:val="00A00AF1"/>
    <w:rsid w:val="00A144F7"/>
    <w:rsid w:val="00A20719"/>
    <w:rsid w:val="00A2215E"/>
    <w:rsid w:val="00A32012"/>
    <w:rsid w:val="00A443AE"/>
    <w:rsid w:val="00A46F64"/>
    <w:rsid w:val="00A4700C"/>
    <w:rsid w:val="00A5289F"/>
    <w:rsid w:val="00A56BAE"/>
    <w:rsid w:val="00A577A8"/>
    <w:rsid w:val="00A64597"/>
    <w:rsid w:val="00A72B28"/>
    <w:rsid w:val="00A73621"/>
    <w:rsid w:val="00A76897"/>
    <w:rsid w:val="00AA3680"/>
    <w:rsid w:val="00AD483F"/>
    <w:rsid w:val="00B4162D"/>
    <w:rsid w:val="00B447A4"/>
    <w:rsid w:val="00B61D36"/>
    <w:rsid w:val="00B736EC"/>
    <w:rsid w:val="00B74245"/>
    <w:rsid w:val="00B84086"/>
    <w:rsid w:val="00B94501"/>
    <w:rsid w:val="00BA38F2"/>
    <w:rsid w:val="00BC0B9F"/>
    <w:rsid w:val="00BF62BD"/>
    <w:rsid w:val="00C000CA"/>
    <w:rsid w:val="00C26A21"/>
    <w:rsid w:val="00C37F63"/>
    <w:rsid w:val="00C4363A"/>
    <w:rsid w:val="00C54DE8"/>
    <w:rsid w:val="00C76138"/>
    <w:rsid w:val="00C85A70"/>
    <w:rsid w:val="00C9050F"/>
    <w:rsid w:val="00C96A85"/>
    <w:rsid w:val="00CA6938"/>
    <w:rsid w:val="00CB7D98"/>
    <w:rsid w:val="00CC2614"/>
    <w:rsid w:val="00CC4B34"/>
    <w:rsid w:val="00CC71D3"/>
    <w:rsid w:val="00CE73C0"/>
    <w:rsid w:val="00D11B5F"/>
    <w:rsid w:val="00D15172"/>
    <w:rsid w:val="00D166AA"/>
    <w:rsid w:val="00D5363C"/>
    <w:rsid w:val="00D65CA4"/>
    <w:rsid w:val="00D71F63"/>
    <w:rsid w:val="00D733AD"/>
    <w:rsid w:val="00DB0F45"/>
    <w:rsid w:val="00DB2B56"/>
    <w:rsid w:val="00DB4B36"/>
    <w:rsid w:val="00DD13E1"/>
    <w:rsid w:val="00DD35C8"/>
    <w:rsid w:val="00DD5E63"/>
    <w:rsid w:val="00DE4F01"/>
    <w:rsid w:val="00DF6F4B"/>
    <w:rsid w:val="00E01370"/>
    <w:rsid w:val="00E05CA2"/>
    <w:rsid w:val="00E063CB"/>
    <w:rsid w:val="00E31446"/>
    <w:rsid w:val="00E357B1"/>
    <w:rsid w:val="00E4745A"/>
    <w:rsid w:val="00E502AF"/>
    <w:rsid w:val="00E6449D"/>
    <w:rsid w:val="00E65E81"/>
    <w:rsid w:val="00E67B93"/>
    <w:rsid w:val="00E82AD3"/>
    <w:rsid w:val="00E95007"/>
    <w:rsid w:val="00EA17E9"/>
    <w:rsid w:val="00EA4720"/>
    <w:rsid w:val="00EC0B76"/>
    <w:rsid w:val="00EC6C0D"/>
    <w:rsid w:val="00ED2BD5"/>
    <w:rsid w:val="00EE6481"/>
    <w:rsid w:val="00EF4BB8"/>
    <w:rsid w:val="00F00342"/>
    <w:rsid w:val="00F026E3"/>
    <w:rsid w:val="00F4577C"/>
    <w:rsid w:val="00F47B75"/>
    <w:rsid w:val="00F606C2"/>
    <w:rsid w:val="00FA1785"/>
    <w:rsid w:val="00FA4B4E"/>
    <w:rsid w:val="00FA6262"/>
    <w:rsid w:val="00FB567D"/>
    <w:rsid w:val="00FC02D8"/>
    <w:rsid w:val="00FC38EA"/>
    <w:rsid w:val="00FD1278"/>
    <w:rsid w:val="00FD32CC"/>
    <w:rsid w:val="00FD5B67"/>
    <w:rsid w:val="00FE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65ADD-045E-4C78-9663-79D71A82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6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EA3"/>
    <w:pPr>
      <w:ind w:left="720"/>
      <w:contextualSpacing/>
    </w:pPr>
  </w:style>
  <w:style w:type="character" w:styleId="Hyperlink">
    <w:name w:val="Hyperlink"/>
    <w:basedOn w:val="DefaultParagraphFont"/>
    <w:uiPriority w:val="99"/>
    <w:unhideWhenUsed/>
    <w:rsid w:val="00A4700C"/>
    <w:rPr>
      <w:color w:val="0000FF" w:themeColor="hyperlink"/>
      <w:u w:val="single"/>
    </w:rPr>
  </w:style>
  <w:style w:type="paragraph" w:styleId="Header">
    <w:name w:val="header"/>
    <w:basedOn w:val="Normal"/>
    <w:link w:val="HeaderChar"/>
    <w:uiPriority w:val="99"/>
    <w:unhideWhenUsed/>
    <w:rsid w:val="00DD35C8"/>
    <w:pPr>
      <w:tabs>
        <w:tab w:val="center" w:pos="4680"/>
        <w:tab w:val="right" w:pos="9360"/>
      </w:tabs>
    </w:pPr>
  </w:style>
  <w:style w:type="character" w:customStyle="1" w:styleId="HeaderChar">
    <w:name w:val="Header Char"/>
    <w:basedOn w:val="DefaultParagraphFont"/>
    <w:link w:val="Header"/>
    <w:uiPriority w:val="99"/>
    <w:rsid w:val="00DD35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35C8"/>
    <w:pPr>
      <w:tabs>
        <w:tab w:val="center" w:pos="4680"/>
        <w:tab w:val="right" w:pos="9360"/>
      </w:tabs>
    </w:pPr>
  </w:style>
  <w:style w:type="character" w:customStyle="1" w:styleId="FooterChar">
    <w:name w:val="Footer Char"/>
    <w:basedOn w:val="DefaultParagraphFont"/>
    <w:link w:val="Footer"/>
    <w:uiPriority w:val="99"/>
    <w:rsid w:val="00DD35C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5007"/>
    <w:rPr>
      <w:rFonts w:ascii="Tahoma" w:hAnsi="Tahoma" w:cs="Tahoma"/>
      <w:sz w:val="16"/>
      <w:szCs w:val="16"/>
    </w:rPr>
  </w:style>
  <w:style w:type="character" w:customStyle="1" w:styleId="BalloonTextChar">
    <w:name w:val="Balloon Text Char"/>
    <w:basedOn w:val="DefaultParagraphFont"/>
    <w:link w:val="BalloonText"/>
    <w:uiPriority w:val="99"/>
    <w:semiHidden/>
    <w:rsid w:val="00E95007"/>
    <w:rPr>
      <w:rFonts w:ascii="Tahoma" w:eastAsia="Times New Roman" w:hAnsi="Tahoma" w:cs="Tahoma"/>
      <w:sz w:val="16"/>
      <w:szCs w:val="16"/>
    </w:rPr>
  </w:style>
  <w:style w:type="paragraph" w:styleId="NoSpacing">
    <w:name w:val="No Spacing"/>
    <w:uiPriority w:val="1"/>
    <w:qFormat/>
    <w:rsid w:val="008E40AE"/>
    <w:pPr>
      <w:spacing w:after="0" w:line="240" w:lineRule="auto"/>
    </w:pPr>
    <w:rPr>
      <w:rFonts w:cstheme="minorHAnsi"/>
      <w:sz w:val="24"/>
      <w:szCs w:val="24"/>
    </w:rPr>
  </w:style>
  <w:style w:type="paragraph" w:styleId="FootnoteText">
    <w:name w:val="footnote text"/>
    <w:basedOn w:val="Normal"/>
    <w:link w:val="FootnoteTextChar"/>
    <w:uiPriority w:val="99"/>
    <w:semiHidden/>
    <w:unhideWhenUsed/>
    <w:rsid w:val="008E40A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E40AE"/>
    <w:rPr>
      <w:sz w:val="20"/>
      <w:szCs w:val="20"/>
    </w:rPr>
  </w:style>
  <w:style w:type="character" w:styleId="FootnoteReference">
    <w:name w:val="footnote reference"/>
    <w:basedOn w:val="DefaultParagraphFont"/>
    <w:uiPriority w:val="99"/>
    <w:semiHidden/>
    <w:unhideWhenUsed/>
    <w:rsid w:val="008E40AE"/>
    <w:rPr>
      <w:vertAlign w:val="superscript"/>
    </w:rPr>
  </w:style>
  <w:style w:type="paragraph" w:customStyle="1" w:styleId="Level1">
    <w:name w:val="Level 1"/>
    <w:rsid w:val="00581AAF"/>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4A2A"/>
    <w:rPr>
      <w:sz w:val="16"/>
      <w:szCs w:val="16"/>
    </w:rPr>
  </w:style>
  <w:style w:type="paragraph" w:styleId="CommentText">
    <w:name w:val="annotation text"/>
    <w:basedOn w:val="Normal"/>
    <w:link w:val="CommentTextChar"/>
    <w:uiPriority w:val="99"/>
    <w:semiHidden/>
    <w:unhideWhenUsed/>
    <w:rsid w:val="008A4A2A"/>
    <w:rPr>
      <w:sz w:val="20"/>
      <w:szCs w:val="20"/>
    </w:rPr>
  </w:style>
  <w:style w:type="character" w:customStyle="1" w:styleId="CommentTextChar">
    <w:name w:val="Comment Text Char"/>
    <w:basedOn w:val="DefaultParagraphFont"/>
    <w:link w:val="CommentText"/>
    <w:uiPriority w:val="99"/>
    <w:semiHidden/>
    <w:rsid w:val="008A4A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4A2A"/>
    <w:rPr>
      <w:b/>
      <w:bCs/>
    </w:rPr>
  </w:style>
  <w:style w:type="character" w:customStyle="1" w:styleId="CommentSubjectChar">
    <w:name w:val="Comment Subject Char"/>
    <w:basedOn w:val="CommentTextChar"/>
    <w:link w:val="CommentSubject"/>
    <w:uiPriority w:val="99"/>
    <w:semiHidden/>
    <w:rsid w:val="008A4A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13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A7AA-1ABD-4941-AA85-3F80525A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 Courts</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 District &amp; Bankruptcy</dc:creator>
  <cp:lastModifiedBy>Delores </cp:lastModifiedBy>
  <cp:revision>7</cp:revision>
  <cp:lastPrinted>2017-11-15T16:39:00Z</cp:lastPrinted>
  <dcterms:created xsi:type="dcterms:W3CDTF">2017-01-04T17:31:00Z</dcterms:created>
  <dcterms:modified xsi:type="dcterms:W3CDTF">2017-11-15T16:41:00Z</dcterms:modified>
</cp:coreProperties>
</file>